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天目湖美术馆装饰装修及外立面改造工程竞争性磋商文件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1" w:right="0" w:hanging="1180"/>
        <w:jc w:val="both"/>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2"/>
        </w:rPr>
        <w:t xml:space="preserve">天目湖美术馆装饰装修及外立面改造工程</w:t>
      </w:r>
      <w:r/>
    </w:p>
    <w:p>
      <w:pPr>
        <w:ind w:left="2832" w:right="0" w:hanging="190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2"/>
        </w:rPr>
        <w:t xml:space="preserve">JSZC-320481-LYDH-C2025-0016</w:t>
      </w:r>
      <w:r/>
    </w:p>
    <w:p>
      <w:pPr>
        <w:ind w:left="2832" w:right="0" w:hanging="190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w:t>
      </w:r>
      <w:r>
        <w:rPr>
          <w:rFonts w:ascii="SimSun" w:hAnsi="SimSun" w:eastAsia="SimSun" w:cs="SimSun"/>
          <w:color w:val="000000"/>
          <w:sz w:val="32"/>
        </w:rPr>
        <w:t xml:space="preserve">溧阳市天目湖镇人民政府</w:t>
      </w:r>
      <w:r/>
    </w:p>
    <w:p>
      <w:pPr>
        <w:ind w:left="2832" w:right="0" w:hanging="190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31" w:right="0" w:hanging="11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w:t>
      </w:r>
      <w:r>
        <w:rPr>
          <w:rFonts w:ascii="SimSun" w:hAnsi="SimSun" w:eastAsia="SimSun" w:cs="SimSun"/>
          <w:color w:val="000000"/>
          <w:sz w:val="32"/>
        </w:rPr>
        <w:t xml:space="preserve"> 溧阳大华工程项目管理有限公司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4818925" w:history="1">
        <w:r>
          <w:rPr>
            <w:rStyle w:val="642"/>
            <w:rFonts w:ascii="SimSun" w:hAnsi="SimSun" w:eastAsia="SimSun" w:cs="SimSun"/>
            <w:color w:val="0084ff"/>
            <w:sz w:val="24"/>
            <w:u w:val="single"/>
          </w:rPr>
          <w:t xml:space="preserve">第一章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采购邀请</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4818926" w:history="1">
        <w:r>
          <w:rPr>
            <w:rStyle w:val="642"/>
            <w:rFonts w:ascii="SimSun" w:hAnsi="SimSun" w:eastAsia="SimSun" w:cs="SimSun"/>
            <w:color w:val="0084ff"/>
            <w:sz w:val="24"/>
            <w:u w:val="single"/>
          </w:rPr>
          <w:t xml:space="preserve">第二章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供应商须知</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4818927" w:history="1">
        <w:r>
          <w:rPr>
            <w:rStyle w:val="642"/>
            <w:rFonts w:ascii="SimSun" w:hAnsi="SimSun" w:eastAsia="SimSun" w:cs="SimSun"/>
            <w:color w:val="0084ff"/>
            <w:sz w:val="24"/>
            <w:u w:val="single"/>
          </w:rPr>
          <w:t xml:space="preserve">第三章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评审程序、评审方法和评审标准</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18928" w:history="1">
        <w:r>
          <w:rPr>
            <w:rStyle w:val="642"/>
            <w:rFonts w:ascii="SimSun" w:hAnsi="SimSun" w:eastAsia="SimSun" w:cs="SimSun"/>
            <w:color w:val="0084ff"/>
            <w:sz w:val="24"/>
            <w:u w:val="single"/>
          </w:rPr>
          <w:t xml:space="preserve">第四章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采购需求</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9" w:history="1">
        <w:r>
          <w:rPr>
            <w:rStyle w:val="642"/>
            <w:rFonts w:ascii="SimSun" w:hAnsi="SimSun" w:eastAsia="SimSun" w:cs="SimSun"/>
            <w:color w:val="0084ff"/>
            <w:sz w:val="24"/>
            <w:u w:val="single"/>
          </w:rPr>
          <w:t xml:space="preserve">第五章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合同草案条款</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30" w:history="1">
        <w:r>
          <w:rPr>
            <w:rStyle w:val="642"/>
            <w:rFonts w:ascii="SimSun" w:hAnsi="SimSun" w:eastAsia="SimSun" w:cs="SimSun"/>
            <w:color w:val="0084ff"/>
            <w:sz w:val="24"/>
            <w:u w:val="single"/>
          </w:rPr>
          <w:t xml:space="preserve">第六章</w:t>
        </w:r>
        <w:r>
          <w:rPr>
            <w:rStyle w:val="642"/>
            <w:rFonts w:ascii="Times New Roman" w:hAnsi="Times New Roman" w:eastAsia="Times New Roman" w:cs="Times New Roman"/>
            <w:color w:val="0084ff"/>
            <w:sz w:val="24"/>
            <w:u w:val="none"/>
          </w:rPr>
          <w:t xml:space="preserve">   </w:t>
        </w:r>
        <w:r>
          <w:rPr>
            <w:rStyle w:val="642"/>
            <w:rFonts w:ascii="SimSun" w:hAnsi="SimSun" w:eastAsia="SimSun" w:cs="SimSun"/>
            <w:color w:val="0084ff"/>
            <w:sz w:val="24"/>
            <w:u w:val="single"/>
          </w:rPr>
          <w:t xml:space="preserve">响应文件格式</w:t>
        </w:r>
        <w:r>
          <w:rPr>
            <w:rStyle w:val="64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 JSZC-320481-LYDH-C2025-0016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项目名称：天目湖美术馆装饰装修及外立面改造工程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SimSun" w:hAnsi="SimSun" w:eastAsia="SimSun" w:cs="SimSun"/>
          <w:color w:val="000000"/>
          <w:sz w:val="24"/>
          <w:u w:val="single"/>
        </w:rPr>
        <w:t xml:space="preserve">1599158.91元</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u w:val="single"/>
        </w:rPr>
        <w:t xml:space="preserve">项目最高限价（控制价）：</w:t>
      </w:r>
      <w:r>
        <w:rPr>
          <w:rFonts w:ascii="Times New Roman" w:hAnsi="Times New Roman" w:eastAsia="Times New Roman" w:cs="Times New Roman"/>
          <w:b/>
          <w:color w:val="0000ff"/>
          <w:sz w:val="24"/>
          <w:u w:val="single"/>
        </w:rPr>
        <w:t xml:space="preserve">1417368.12</w:t>
      </w:r>
      <w:r>
        <w:rPr>
          <w:rFonts w:ascii="SimSun" w:hAnsi="SimSun" w:eastAsia="SimSun" w:cs="SimSun"/>
          <w:b/>
          <w:color w:val="0000ff"/>
          <w:sz w:val="24"/>
          <w:u w:val="single"/>
        </w:rPr>
        <w:t xml:space="preserve">元，其中暂列金额（含规费税金）为</w:t>
      </w:r>
      <w:r>
        <w:rPr>
          <w:rFonts w:ascii="Times New Roman" w:hAnsi="Times New Roman" w:eastAsia="Times New Roman" w:cs="Times New Roman"/>
          <w:b/>
          <w:color w:val="0000ff"/>
          <w:sz w:val="24"/>
          <w:u w:val="single"/>
        </w:rPr>
        <w:t xml:space="preserve">84235.69</w:t>
      </w:r>
      <w:r>
        <w:rPr>
          <w:rFonts w:ascii="SimSun" w:hAnsi="SimSun" w:eastAsia="SimSun" w:cs="SimSun"/>
          <w:b/>
          <w:color w:val="0000ff"/>
          <w:sz w:val="24"/>
          <w:u w:val="single"/>
        </w:rPr>
        <w:t xml:space="preserve">元，供应商报价总价不得超过控制价总价、已标价工程量清单中所有分部分项工程响应单价不得超过分部分项工程控制价单价，否则作无效响应处理。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采购需求：本次招标内容为天目湖美术馆装饰装修及外立面改造工程。</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985"/>
        <w:gridCol w:w="1261"/>
        <w:gridCol w:w="1048"/>
        <w:gridCol w:w="439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采购包预算金额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天目湖美术馆装饰装修及外立面改造工程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159.915891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Calibri" w:hAnsi="Calibri" w:eastAsia="Calibri" w:cs="Calibri"/>
                <w:color w:val="000000"/>
                <w:sz w:val="21"/>
              </w:rPr>
              <w:t xml:space="preserve">1200</w:t>
            </w:r>
            <w:r>
              <w:rPr>
                <w:rFonts w:ascii="SimSun" w:hAnsi="SimSun" w:eastAsia="SimSun" w:cs="SimSun"/>
                <w:color w:val="000000"/>
                <w:sz w:val="21"/>
              </w:rPr>
              <w:t xml:space="preserve">㎡室内装饰装修以及外立面改造等</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b/>
          <w:color w:val="0000ff"/>
          <w:sz w:val="24"/>
          <w:u w:val="single"/>
        </w:rPr>
        <w:t xml:space="preserve">60</w:t>
      </w:r>
      <w:r>
        <w:rPr>
          <w:rFonts w:ascii="SimSun" w:hAnsi="SimSun" w:eastAsia="SimSun" w:cs="SimSun"/>
          <w:b/>
          <w:color w:val="0000ff"/>
          <w:sz w:val="24"/>
          <w:u w:val="single"/>
        </w:rPr>
        <w:t xml:space="preserve">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■否。</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7"/>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w:t>
      </w:r>
      <w:r>
        <w:rPr>
          <w:rFonts w:ascii="Times New Roman" w:hAnsi="Times New Roman" w:eastAsia="Times New Roman" w:cs="Times New Roman"/>
          <w:color w:val="000000"/>
          <w:sz w:val="24"/>
        </w:rPr>
        <w:t xml:space="preserve"> </w:t>
      </w:r>
      <w:r>
        <w:rPr>
          <w:rFonts w:ascii="Wingdings 2" w:hAnsi="Wingdings 2" w:eastAsia="Wingdings 2" w:cs="Wingdings 2"/>
          <w:color w:val="000000"/>
          <w:sz w:val="21"/>
        </w:rPr>
        <w:t xml:space="preserve">£</w:t>
      </w:r>
      <w:r>
        <w:rPr>
          <w:rFonts w:ascii="SimSun" w:hAnsi="SimSun" w:eastAsia="SimSun" w:cs="SimSun"/>
          <w:color w:val="000000"/>
          <w:sz w:val="24"/>
        </w:rPr>
        <w:t xml:space="preserve">小微 企业采购。即：工程由中小企业承建，即工程施工单位为中小微企业，所属行业为建筑业（提供《中小企业声明函》）。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（1）有效期内营业执照；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（2）投标人具有有效期内建筑装饰装修工程专业承包二级及以上资质证书；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（3）投标人具有有效期内企业安全生产许可证证书；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（4）项目负责人具有建筑工程二级（含）以上注册建造师证书、安全生产考核合格证（B 证）及为其缴纳的2025年8月至2025年10月任意1个月的社保证明及无在建承诺（承诺书格式自拟）。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（注：一级建造师电子注册证书，执行《住房和城乡建设部办公厅关于全面实行一级建造师电子注册证书的通知》（建办市 [2021]40 号）文件。使用电子证书的，需按江苏省住房和城乡建设厅〔2023〕第5号公告规定使用新版电子证照。）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31</w:t>
      </w:r>
      <w:r>
        <w:rPr>
          <w:rFonts w:ascii="SimSun" w:hAnsi="SimSun" w:eastAsia="SimSun" w:cs="SimSun"/>
          <w:color w:val="000000"/>
          <w:sz w:val="24"/>
          <w:u w:val="single"/>
        </w:rPr>
        <w:t xml:space="preserve">日至</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06</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3.方式：供应商持CA数字认证证书登录“苏采云”政府采购一体化平台（http://jszfcg.jsczt.cn/jszc/login）获取电子版采购文件。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份。</w:t>
      </w:r>
      <w:r/>
    </w:p>
    <w:p>
      <w:pPr>
        <w:ind w:left="84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地点：供应商持CA数字认证证书登录“苏采云”政府采购一体化平台（http://jszfcg.jsczt.cn/jszc/login）获取电子版磋商文件。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地点：本项目采用不见面交易方式，无需到现场提交，供应商登录“苏采云”政府采购一体化平台供应商端，通过系统在线提交电子响应文件。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1.本项目需要落实的政府采购政策：扶持中小企业、监狱企业、残疾人福利企业。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技术保障服务：“苏采云”系统使用期间，由系统开发商江苏富深协通科技股份有限公司提供技术保障服务，指导软件操作，维护系统稳定运行。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运维保障联系方式：0519-85588210、0519-85588163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2.1办理CA认证证书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供应商登录常州市政府采购网“下载中心”-“苏采云”系统（供应商）操作手册下载相关操作手册、操作视频等，查阅后进行自助注册。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供应商登录常州市政府采购网“下载中心”-政府采购管理交易系统（苏采云）CA及签章控件驱动下载相关控件及客户端。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供应商持CA数字认证证书登录“苏采云”政府采购一体化平台获取电子磋商文件。未在规定期限内通过“苏采云”政府采购一体化平台获取磋商文件的响应无效。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供应商应于响应截止时间前在“苏采云”政府采购一体化平台提交电子响应文件，上传电子响应文件过程中请保持与互联网的连接畅通。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供应商使用CA认证证书登录“苏采云”政府采购一体化平台进行电子化不见面开标。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因系统固定格式，采购公告与采购文件有不一致之处，以采购文件为准。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八、对本项目提出询问，请按以下方式联系。</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1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溧阳市天目湖镇人民政府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溧阳市天目湖镇协和路8号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0519-87967870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溧阳大华工程项目管理有限公司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溧阳市溧城街道平陵中路7号2楼203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0519-87228418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张工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0519-87228418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12"/>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供应商须知资料表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1564"/>
        <w:gridCol w:w="6720"/>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服务</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货物</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w:t>
            </w:r>
            <w:r>
              <w:rPr>
                <w:rFonts w:ascii="SimSun" w:hAnsi="SimSun" w:eastAsia="SimSun" w:cs="SimSun"/>
                <w:color w:val="000000"/>
                <w:sz w:val="24"/>
                <w:u w:val="single"/>
              </w:rPr>
              <w:t xml:space="preserve">工程类，</w:t>
            </w:r>
            <w:r>
              <w:rPr>
                <w:rFonts w:ascii="SimSun" w:hAnsi="SimSun" w:eastAsia="SimSun" w:cs="SimSun"/>
                <w:color w:val="000000"/>
                <w:sz w:val="24"/>
              </w:rPr>
              <w:t xml:space="preserve">采购标的对应的中小企业划分标准所属行业：</w:t>
            </w:r>
            <w:r>
              <w:rPr>
                <w:rFonts w:ascii="SimSun" w:hAnsi="SimSun" w:eastAsia="SimSun" w:cs="SimSun"/>
                <w:color w:val="000000"/>
                <w:sz w:val="24"/>
                <w:u w:val="single"/>
              </w:rPr>
              <w:t xml:space="preserve">建筑业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w:t>
            </w:r>
            <w:r>
              <w:rPr>
                <w:rFonts w:ascii="SimSun" w:hAnsi="SimSun" w:eastAsia="SimSun" w:cs="SimSun"/>
                <w:color w:val="000000"/>
                <w:sz w:val="24"/>
                <w:u w:val="single"/>
              </w:rPr>
              <w:t xml:space="preserve">二轮报价</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询问送达形式：于2025年  月  日14：30前以书面形式递交至 溧阳大华工程项目管理有限公司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溧阳大华工程项目管理有限公司</w:t>
            </w:r>
            <w:r>
              <w:rPr>
                <w:rFonts w:ascii="SimSun" w:hAnsi="SimSun" w:eastAsia="SimSun" w:cs="SimSun"/>
                <w:color w:val="000000"/>
                <w:sz w:val="24"/>
              </w:rPr>
              <w:t xml:space="preserve">；</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0519-87228418</w:t>
            </w:r>
            <w:r>
              <w:rPr>
                <w:rFonts w:ascii="SimSun" w:hAnsi="SimSun" w:eastAsia="SimSun" w:cs="SimSun"/>
                <w:color w:val="000000"/>
                <w:sz w:val="24"/>
              </w:rPr>
              <w:t xml:space="preserve">；</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溧阳市溧城街道平陵中路7号2楼203</w:t>
            </w:r>
            <w:r>
              <w:rPr>
                <w:rFonts w:ascii="SimSun" w:hAnsi="SimSun" w:eastAsia="SimSun" w:cs="SimSun"/>
                <w:color w:val="000000"/>
                <w:sz w:val="24"/>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采购人</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成交供应商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招标代理费：</w:t>
            </w:r>
            <w:r>
              <w:rPr>
                <w:rFonts w:ascii="Arial" w:hAnsi="Arial" w:eastAsia="Arial" w:cs="Arial"/>
                <w:b/>
                <w:color w:val="0000ff"/>
                <w:sz w:val="24"/>
                <w:u w:val="single"/>
              </w:rPr>
              <w:t xml:space="preserve">按江苏省政府采购协会(苏政采协[2024]20号)《江苏省政府采购代理服务收费指导意见》收费指导价标准收取；本项不需单独列出，供应商需综合考虑。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缴纳时间：成交供应商应在领取成交通知书时将成交服务费付至采购代理机构的账户并备注项目编号。</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12"/>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一、说明</w:t>
      </w:r>
      <w:r>
        <w:rPr>
          <w:rFonts w:ascii="Times New Roman" w:hAnsi="Times New Roman" w:eastAsia="Times New Roman" w:cs="Times New Roman"/>
          <w:b/>
          <w:color w:val="000000"/>
          <w:sz w:val="28"/>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1、采购人、采购代理机构、供应商、联合体</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1.1采购人、采购代理机构：指依法进行政府采购的国家机关、事业单位、团体组织，及其委托的采购代理机构。本项目采购人、采购代理机构见第一章《采购邀请》。</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1.2供应商（也称“申请人”）：指向采购人提供货物、工程或者服务的法人、其他组织或者自然人。</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1.3联合体：指两个以上的自然人、法人或者其他组织组成一个联合体，以一个供应商的身份共同参加政府采购。</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2、资金来源、项目属性、科研仪器设备采购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2.1资金来源为财政性资金和/或本项目采购中无法与财政性资金分割的非财政性资金。</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2.2项目属性见《供应商须知资料表》。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2.3是否属于科研仪器设备采购见《供应商须知资料表》。</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3、现场考察、磋商前答疑会</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3.1若《供应商须知资料表》中规定了组织现场考察、召开磋商前答疑会，则供应商应按要求在规定的时间和地点参加。</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4、政府采购政策（包括但不限于下列具体政策要求）</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4.1进口产品</w:t>
      </w:r>
      <w:r/>
    </w:p>
    <w:p>
      <w:pPr>
        <w:ind w:left="0" w:right="0" w:firstLine="48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4.2中小企业、监狱企业及残疾人福利性单位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4.2.1中小企业定义：</w:t>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4.2.3残疾人福利单位定义：享受政府采购支持政策的残疾人福利性单位应当同时满足以下条件：</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4.2.4本项目是否专门面向中小企业预留采购份额见第一章《采购邀请》。</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4.2.5采购标的对应的中小企业划分标准所属行业见《供应商须知资料表》。</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4.2.6小微企业价格评审优惠的政策调整：见第三章《评审方法和评审标准》。</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4.3政府采购节能产品、环境标志产品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4.3.4非政府强制采购的节能产品或环境标志产品，依据品目清单和认证证书实施政府优先采购。优先采购的具体规定见第三章《评审方法和评审标准》（如涉及）。</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4.4支持乡村产业振兴管理</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4.5正版软件</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4.6信息安全产品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4.7政府采购创新产品政策</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绿色采购政策</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绿色数据中心政策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5、响应费用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6.1竞争性磋商文件包括以下部分：</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8"/>
        </w:numPr>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6.2供应商应认真阅读竞争性磋商文件的全部内容。供应商应按照竞争性磋商文件要求提交响应文件并保证所提供的全部资料的真实性，并对竞争性磋商文件作出实质性响应，否则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7、对竞争性磋商文件的澄清或修改</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7.1采购人或采购代理机构对已发出的竞争性磋商文件进行必要澄清或者修改的，将在原公告发布媒体上以发布更正公告的形式通知所有获取磋商文件的供应商。</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8、响应范围、竞争性磋商文件中计量单位的使用及磋商语言</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8.2除竞争性磋商文件有特殊要求外，本项目磋商所使用的计量单位，应采用中华人民共和国法定计量单位。</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9.1供应商应当按照竞争性磋商文件的要求编制响应文件，并对其提交的响应文件的真实性、合法性承担法律责任。响应文件的部分格式要求，见第六章《响应文件格式》。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9.3第三章《评审方法和评审标准》中涉及的证明文件。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9.5供应商认为应附的其他材料。</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10、报价</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10.1所有响应均以人民币报价。</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u w:val="single"/>
        </w:rPr>
        <w:t xml:space="preserve">项目最高限价（控制价）：</w:t>
      </w:r>
      <w:r>
        <w:rPr>
          <w:rFonts w:ascii="Times New Roman" w:hAnsi="Times New Roman" w:eastAsia="Times New Roman" w:cs="Times New Roman"/>
          <w:b/>
          <w:color w:val="0000ff"/>
          <w:sz w:val="24"/>
          <w:u w:val="single"/>
        </w:rPr>
        <w:t xml:space="preserve">1417368.12</w:t>
      </w:r>
      <w:r>
        <w:rPr>
          <w:rFonts w:ascii="SimSun" w:hAnsi="SimSun" w:eastAsia="SimSun" w:cs="SimSun"/>
          <w:b/>
          <w:color w:val="0000ff"/>
          <w:sz w:val="24"/>
          <w:u w:val="single"/>
        </w:rPr>
        <w:t xml:space="preserve">元，其中暂列金额（含规费税金）为</w:t>
      </w:r>
      <w:r>
        <w:rPr>
          <w:rFonts w:ascii="Times New Roman" w:hAnsi="Times New Roman" w:eastAsia="Times New Roman" w:cs="Times New Roman"/>
          <w:b/>
          <w:color w:val="0000ff"/>
          <w:sz w:val="24"/>
          <w:u w:val="single"/>
        </w:rPr>
        <w:t xml:space="preserve">84235.69</w:t>
      </w:r>
      <w:r>
        <w:rPr>
          <w:rFonts w:ascii="SimSun" w:hAnsi="SimSun" w:eastAsia="SimSun" w:cs="SimSun"/>
          <w:b/>
          <w:color w:val="0000ff"/>
          <w:sz w:val="24"/>
          <w:u w:val="single"/>
        </w:rPr>
        <w:t xml:space="preserve">元，供应商报价总价不得超过控制价总价、已标价工程量清单中所有分部分项工程响应单价不得超过分部分项工程控制价单价，否则作无效响应处理。</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供应商的报价应包括磋商供应商在响应文件中提出的各项支付金额的总和，为实施、完成招标工程并修补缺陷以及履行竞争性磋商文件中约定的风险范围内的所有责任和义务所发生的全部费用。供应商的报价应包括但不限于下列内容，《供应商须知资料表》中有特殊规定的，从其规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10.1.3按照竞争性磋商文件要求完成本项目的全部相关工程或服务费用。 </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10.2采购人不得向供应商索要或者接受其给予的赠品、回扣或者与采购无关的其他商品、服务。</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12、响应有效期</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13、响应文件的份数、签署</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13.1供应商应严格按照竞争性磋商公告要求准备响应文件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13.2响应文件按顺序编制目录索引，且由供应商法定代表人或其授权代表签字。授权代表为非法定代表人时，须将法定代表人以书面形式出具的“法定代表人授权书”（原件）附在响应文件中。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13.3除供应商对错处做必要修改外，响应文件不得行间插字、涂改或增删。如有修改错漏处，必须由响应文件签署人签字或盖章。</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14.1本项目使用“苏采云”政府采购一体化平台。投标人根据招标文件及“苏采云”政府采购一体化平台供应商操作手册要求编制、生成并提交电子投标文件。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14.2采购人及采购代理机构拒绝接受通过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以外任何形式提交的投标文件。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15.1投标人应在招标文件要求提交投标文件截止时间前，将电子投标文件提交至“苏采云”政府采购一体化平台。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16、投标文件的修改与撤回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16.1投标截止时间前，投标人可以通过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对所提交的投标文件进行补充、修改或者撤回。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16.2投标人对投标文件的补充、修改的内容应当按照招标文件要求签署、加盖公章，作为投标文件的组成部分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五、开标、资格审查及评标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17.1采购人或采购代理机构将按招标文件的规定，在投标截止时间的同一时间和招标文件预先确定的地点组织开标。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17.2本项目开标采用不见面招投标模式，使用“苏采云”政府采购一体化平台在线进行开标。投标人应在规定的时间内对投标文件进行解密，因非系统原因导致的解密失败，视为投标无效。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17.5投标人不足3家的，不予解密。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1.平台系统发生故障而无法登录访问的；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18、资格审查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18.1见第三章《资格审查》。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19.1评标委员会根据政府采购有关规定和本次招标采购项目的特点进行组建，并负责具体评标事务，独立履行职责。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20、评标程序、评标方法和评标标准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20.1见第三章《评标程序、评标方法和评标标准》。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六、确定成交</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21、确定成交供应商</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21.1采购人将在收到评审报告后，从评审报告提出的成交候选供应商中，按照排序由高到低的原则确定成交供应商。成交候选人并列的，由采购人依法确定。</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22、成交公告与成交通知书</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22.1采购人或采购代理机构将在成交供应商确定后2个工作日内，在常州市政府采购网公告成交结果，成交公告期限为1个工作日。</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22.2成交通知书是合同的组成部分，对采购人和成交供应商具有同等法律效力。成交通知书发出后，采购人改变成交结果的，或者成交供应商放弃成交项目的，将依法承担法律责任。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23.1在招标采购中，出现下列情形之一的，应予废标：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23.1.1符合专业条件的供应商或者对招标文件作实质响应的供应商不足三家的；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23.1.2出现影响采购公正的违法、违规行为的；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23.1.3投标人的报价均超过了采购预算，采购人不能支付的；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23.1.4因重大变故，采购任务取消的。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23.1.5平台系统出现序号16.8的所述情形，情况严重且影响采购活动公平、公正性的。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23.2废标后，采购人将废标理由通知所有投标人。</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24、签订合同</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24.2中标人拒绝与采购人签订合同的，采购人可以按照评标报告推荐的中标候选人名单排序，确定下一候选人为中标人，也可以重新开展政府采购活动。</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24.3联合体中标的，联合体各方应当共同与采购人签订合同，就中标项目向采购人承担连带责任。</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24.4政府采购合同不能转包。</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25、询问与质疑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25.1询问</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25.1.1投标人对政府采购活动事项有疑问的，可依法提出询问，并按《投标人须知资料表》载明的形式送达采购人或采购代理机构。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25.1.2采购人或采购代理机构对供应商依法提出的询问，在3个工作日内作出答复，但答复的内容不得涉及商业秘密。</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26.3质疑函须使用财政部制定的范本文件。（下载网址：）http://gks.mof.gov.cn/ztztz/zhengfucaigouguanli/201802/t20180201_2804589.htm</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26.4投标人为自然人的，应当由本人签字；投标人为法人或者其他组织的，应当由法定代表人、主要负责人，或者其授权代表签字或者加盖公章，并加盖公章。</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25.5投标人应在法定质疑期内一次性提出针对同一采购程序环节的质疑，法定质疑期内针对同一采购程序环节再次提出的质疑，采购人、采购代理机构有权不予答复。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26.6接收询问和质疑的联系部门、联系电话和通讯地址见《投标人须知资料表》。</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27、代理费</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27.1收费对象、收费标准及缴纳时间见《投标人须知资料表》。由中标人支付的，中标人须一次性向采购代理机构缴纳代理费，投标报价应综合考虑代理费用。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12"/>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评审程序、评审方法和评审标准</w:t>
      </w:r>
      <w:r/>
    </w:p>
    <w:p>
      <w:pPr>
        <w:pStyle w:val="61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、响应文件的资格性检查和符合性审查</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人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1"/>
        <w:gridCol w:w="2050"/>
        <w:gridCol w:w="4686"/>
        <w:gridCol w:w="170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提供证明文件的电子扫描件加盖电子公章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（1）有效期内营业执照；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（2）投标人具有有效期内建筑装饰装修工程专业承包二级及以上资质证书；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（3）投标人具有有效期内企业安全生产许可证证书；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（4）项目负责人具有建筑工程二级（含）以上注册建造师证书、安全生产考核合格证（B 证）及为其缴纳的2025年8月至2025年10月任意1个月的社保证明及无在建承诺（承诺书格式自拟）。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（注：一级建造师电子注册证书，执行《住房和城乡建设部办公厅关于全面实行一级建造师电子注册证书的通知》（建办市 [2021]40 号）文件。使用电子证书的，需按江苏省住房和城乡建设厅〔2023〕第5号公告规定使用新版电子证照。）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提供证明文件的电子扫描件加盖电子公章，使用电子证书的，需按江苏省住房和城乡建设厅〔2023〕第5号公告规定使用新版电子证照，否则作资审不合格处理。</w:t>
            </w:r>
            <w:r/>
          </w:p>
        </w:tc>
      </w:tr>
    </w:tbl>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2325"/>
        <w:gridCol w:w="631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报价总价不得超过控制价总价、已标价工程量清单中所有分部分项工程响应单价不得超过分部分项工程控制价单价，否则作无效响应处理。未改变控制价文件中规定的暂估价、暂列金及甲供材料，未改变文件中明确列出的不可竞争费的名称或费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2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注：提供符合性审查承诺书，格式见采购文件。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、磋商、响应文件有关事项的澄清、说明或者更正和最终报价</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、对磋商文件作出的实质性变动是磋商文件的有效组成部分，磋商小组应当及时以书面形式同时通知所有参加磋商的供应商。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、响应文件的澄清、说明或者更正：</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ind w:left="0" w:right="0" w:firstLine="482"/>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、最终报价是供应商响应文件的有效组成部分。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、已提交响应文件的供应商，在提交最终报价之前，可以根据磋商情况退出磋商。</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、最终报价的算术修正及政策调整</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、最终报价出现前后不一致的，按照下列规定修正：</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、竞争性磋商文件对于报价修正是否另有规定：</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0" w:right="0" w:firstLine="522"/>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、单价金额小数点或者百分比有明显错位的，以最终报价一览表的总价为准，并修改单价；</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w:t>
      </w: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、落实政府采购政策的价格调整：</w:t>
      </w:r>
      <w:r>
        <w:rPr>
          <w:rFonts w:ascii="SimSun" w:hAnsi="SimSun" w:eastAsia="SimSun" w:cs="SimSun"/>
          <w:b/>
          <w:color w:val="000000"/>
          <w:sz w:val="24"/>
        </w:rPr>
        <w:t xml:space="preserve">本项目专门面向中小企业采购，故不再执行价格优惠政策。</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、供应商对实质性变动不予确认的；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、未按照磋商小组规定的时间、逾期提交最终报价的；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、响应文件中出现可选择性或可调整的报价的（竞争性磋商文件另有规定的除外）；</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、最终报价出现前后不一致，供应商对修正后的报价不予确认的；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rPr>
          <w:rFonts w:ascii="SimSun" w:hAnsi="SimSun" w:eastAsia="SimSun" w:cs="SimSun"/>
          <w:color w:val="000000"/>
          <w:sz w:val="24"/>
        </w:rPr>
        <w:t xml:space="preserve">、</w:t>
      </w:r>
      <w:r>
        <w:rPr>
          <w:rFonts w:ascii="SimSun" w:hAnsi="SimSun" w:eastAsia="SimSun" w:cs="SimSun"/>
          <w:b/>
          <w:color w:val="000000"/>
          <w:sz w:val="24"/>
        </w:rPr>
        <w:t xml:space="preserve">其他：</w:t>
      </w:r>
      <w:r>
        <w:rPr>
          <w:rFonts w:ascii="SimSun" w:hAnsi="SimSun" w:eastAsia="SimSun" w:cs="SimSun"/>
          <w:b/>
          <w:color w:val="000000"/>
          <w:sz w:val="24"/>
          <w:u w:val="single"/>
        </w:rPr>
        <w:t xml:space="preserve">评审委员会启动异常低价投标（响应）审查的情形和具体要求，包括：</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（一）评审过程中出现下列情形之一的，评审委员会应当启动异常低价投标（响应）审查程序：</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．投标（响应）报价低于采购项目预算</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的，即投标（响应）报价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采购项目预算×</w:t>
      </w:r>
      <w:r>
        <w:rPr>
          <w:rFonts w:ascii="Times New Roman" w:hAnsi="Times New Roman" w:eastAsia="Times New Roman" w:cs="Times New Roman"/>
          <w:b/>
          <w:color w:val="000000"/>
          <w:sz w:val="24"/>
          <w:u w:val="single"/>
        </w:rPr>
        <w:t xml:space="preserve">50% </w:t>
      </w:r>
      <w:r>
        <w:rPr>
          <w:rFonts w:ascii="SimSun" w:hAnsi="SimSun" w:eastAsia="SimSun" w:cs="SimSun"/>
          <w:b/>
          <w:color w:val="000000"/>
          <w:sz w:val="24"/>
          <w:u w:val="single"/>
        </w:rPr>
        <w:t xml:space="preserve">；</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．投标（响应）报价低于采购项目最高限价</w:t>
      </w:r>
      <w:r>
        <w:rPr>
          <w:rFonts w:ascii="Times New Roman" w:hAnsi="Times New Roman" w:eastAsia="Times New Roman" w:cs="Times New Roman"/>
          <w:b/>
          <w:color w:val="000000"/>
          <w:sz w:val="24"/>
          <w:u w:val="single"/>
        </w:rPr>
        <w:t xml:space="preserve">45%</w:t>
      </w:r>
      <w:r>
        <w:rPr>
          <w:rFonts w:ascii="SimSun" w:hAnsi="SimSun" w:eastAsia="SimSun" w:cs="SimSun"/>
          <w:b/>
          <w:color w:val="000000"/>
          <w:sz w:val="24"/>
          <w:u w:val="single"/>
        </w:rPr>
        <w:t xml:space="preserve">的，即投标（响应）报价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采购项目最高限价×</w:t>
      </w:r>
      <w:r>
        <w:rPr>
          <w:rFonts w:ascii="Times New Roman" w:hAnsi="Times New Roman" w:eastAsia="Times New Roman" w:cs="Times New Roman"/>
          <w:b/>
          <w:color w:val="000000"/>
          <w:sz w:val="24"/>
          <w:u w:val="single"/>
        </w:rPr>
        <w:t xml:space="preserve">45% </w:t>
      </w:r>
      <w:r>
        <w:rPr>
          <w:rFonts w:ascii="SimSun" w:hAnsi="SimSun" w:eastAsia="SimSun" w:cs="SimSun"/>
          <w:b/>
          <w:color w:val="000000"/>
          <w:sz w:val="24"/>
          <w:u w:val="single"/>
        </w:rPr>
        <w:t xml:space="preserve">；</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．评审委员会认定的供应商报价过低、有可能影响产品质量或者不能诚信履约的其他情形。</w:t>
      </w:r>
      <w:r/>
    </w:p>
    <w:p>
      <w:pPr>
        <w:ind w:left="0" w:right="0" w:firstLine="48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、评审方法和评审标准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、竞争性磋商文件中没有规定的评审标准不得作为评审依据。</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、确定成交候选人名单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名的供应商为成交候选供应商（若在磋商文件允许的情形下提交最终报价的供应商为两家，则依次推荐二名供应商为成交候选供应商），并编写评审报告。</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、报告违法行为</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b/>
          <w:color w:val="000000"/>
          <w:sz w:val="30"/>
        </w:rPr>
        <w:t xml:space="preserve">                   评分标准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注：每部分的得分保留小数点后两位，合计得分保留小数点后两位。磋商考虑的主要因素及其分值如下：</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
        <w:gridCol w:w="724"/>
        <w:gridCol w:w="323"/>
        <w:gridCol w:w="7934"/>
      </w:tblGrid>
      <w:tr>
        <w:trPr/>
        <w:tc>
          <w:tcPr>
            <w:tcBorders>
              <w:top w:val="single" w:color="000000" w:sz="12"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12"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评审因素</w:t>
            </w:r>
            <w:r/>
          </w:p>
        </w:tc>
        <w:tc>
          <w:tcPr>
            <w:tcBorders>
              <w:top w:val="single" w:color="000000" w:sz="12"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分值</w:t>
            </w:r>
            <w:r/>
          </w:p>
        </w:tc>
        <w:tc>
          <w:tcPr>
            <w:tcBorders>
              <w:top w:val="single" w:color="000000" w:sz="12"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评分标准</w:t>
            </w:r>
            <w:r/>
          </w:p>
        </w:tc>
      </w:tr>
      <w:tr>
        <w:trPr/>
        <w:tc>
          <w:tcPr>
            <w:gridSpan w:val="4"/>
            <w:tcBorders>
              <w:top w:val="none" w:color="000000" w:sz="4" w:space="0"/>
              <w:left w:val="single" w:color="000000" w:sz="12" w:space="0"/>
              <w:bottom w:val="single" w:color="000000" w:sz="8" w:space="0"/>
              <w:right w:val="single" w:color="000000" w:sz="12" w:space="0"/>
            </w:tcBorders>
            <w:tcMar>
              <w:left w:w="15" w:type="dxa"/>
              <w:top w:w="15" w:type="dxa"/>
              <w:right w:w="15" w:type="dxa"/>
              <w:bottom w:w="15" w:type="dxa"/>
            </w:tcMar>
            <w:tcW w:w="9346" w:type="dxa"/>
            <w:vAlign w:val="center"/>
            <w:textDirection w:val="lrTb"/>
            <w:noWrap w:val="false"/>
          </w:tcPr>
          <w:p>
            <w:pPr>
              <w:ind w:left="0" w:right="0" w:firstLine="18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一、价格分（10分）</w:t>
            </w:r>
            <w:r/>
          </w:p>
        </w:tc>
      </w:tr>
      <w:tr>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single" w:color="000000" w:sz="8"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满足磋商文件要求且最终报价最低的报价为评标基准价，其价格分为满分。其他供应商的价格分统一按照下列公式计算：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价格分得分＝（评标基准价/最终报价）×分值。</w:t>
            </w:r>
            <w:r/>
          </w:p>
        </w:tc>
      </w:tr>
      <w:tr>
        <w:trPr/>
        <w:tc>
          <w:tcPr>
            <w:gridSpan w:val="4"/>
            <w:tcBorders>
              <w:top w:val="none" w:color="000000" w:sz="4" w:space="0"/>
              <w:left w:val="single" w:color="000000" w:sz="12" w:space="0"/>
              <w:bottom w:val="single" w:color="000000" w:sz="8" w:space="0"/>
              <w:right w:val="single" w:color="000000" w:sz="12" w:space="0"/>
            </w:tcBorders>
            <w:tcMar>
              <w:left w:w="15" w:type="dxa"/>
              <w:top w:w="15" w:type="dxa"/>
              <w:right w:w="15" w:type="dxa"/>
              <w:bottom w:w="15" w:type="dxa"/>
            </w:tcMar>
            <w:tcW w:w="9346" w:type="dxa"/>
            <w:vAlign w:val="center"/>
            <w:textDirection w:val="lrTb"/>
            <w:noWrap w:val="false"/>
          </w:tcPr>
          <w:p>
            <w:pPr>
              <w:ind w:left="0" w:right="0" w:firstLine="18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二、客观分（28分）</w:t>
            </w:r>
            <w:r/>
          </w:p>
        </w:tc>
      </w:tr>
      <w:tr>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认证体系</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single" w:color="000000" w:sz="8"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具备质量管理体系认证证书的得 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具备职业健康安全管理体系认证证书的得 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具备环境管理体系认证证书的得2分。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(响应供应商须提供在“国家市场监督管理总局-全国认证认可信息公告服务平台”的截图，加盖响应供应商公章。)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具备3AAA资信证书的得 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响应供应商须提供复印件，加盖响应供应商公章。</w:t>
            </w:r>
            <w:r/>
          </w:p>
          <w:p>
            <w:pPr>
              <w:ind w:left="0" w:right="0" w:firstLine="36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309"/>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公司业绩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投标人提供自2022年1月1日（含）以来，完成过的类似装修布展项目业绩，每提供一个得2分，最多得12分，不提供不得分。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注：（1）业绩时间以合同签定时间为准，。</w:t>
            </w:r>
            <w:r/>
          </w:p>
          <w:p>
            <w:pPr>
              <w:ind w:left="0" w:right="0" w:firstLine="36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（2）须提供中标通知书、合同关键页、竣工验收证明（能体现项目时间、金额、甲乙双方盖章，三者缺一不可），不提供或提供不完整不得分。</w:t>
            </w:r>
            <w:r>
              <w:rPr>
                <w:rFonts w:ascii="SimSun" w:hAnsi="SimSun" w:eastAsia="SimSun" w:cs="SimSun"/>
                <w:b/>
                <w:color w:val="000000"/>
                <w:sz w:val="18"/>
              </w:rPr>
              <w:t xml:space="preserve">提供复印件加盖投标人公章。</w:t>
            </w:r>
            <w:r/>
          </w:p>
        </w:tc>
      </w:tr>
      <w:tr>
        <w:trPr>
          <w:trHeight w:val="1858"/>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项目负责人能力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1、拟派项目负责人具备中级及以上技术职称，自2022年1月1日（含）以来，拟派项目负责人承接过的装修布展项目业绩，每提供一个得4分，该项最高可得4分。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注：（1）时间以合同签定的时间为准。</w:t>
            </w:r>
            <w:r/>
          </w:p>
          <w:p>
            <w:pPr>
              <w:ind w:left="0" w:right="0" w:firstLine="36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（2）须提供中标通知书、合同关键页、竣工验收证明（能体现项目时间、金额、甲乙双方盖章，三者缺一不可），不提供或提供不完整不得分。且需体现项目负责人信息，否则不予认可。</w:t>
            </w:r>
            <w:r/>
          </w:p>
          <w:p>
            <w:pPr>
              <w:ind w:left="0" w:right="0" w:firstLine="36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（3）项目负责人业绩与企业业绩不可重复计算。</w:t>
            </w:r>
            <w:r/>
          </w:p>
        </w:tc>
      </w:tr>
      <w:tr>
        <w:trPr>
          <w:trHeight w:val="1036"/>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拟派人员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供应商项拟派人员中具有建设工程、装饰设计、工艺美术类、工程造价专业中级及以上职称的（该等级每类专业限评1人），有一人得1分，最高得4分。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注：提供相应证明材料及投标单位近一个月单位为其缴纳的</w:t>
            </w:r>
            <w:r>
              <w:rPr>
                <w:rFonts w:ascii="SimSun" w:hAnsi="SimSun" w:eastAsia="SimSun" w:cs="SimSun"/>
                <w:b/>
                <w:color w:val="000000"/>
                <w:sz w:val="18"/>
              </w:rPr>
              <w:t xml:space="preserve">社保</w:t>
            </w:r>
            <w:r>
              <w:rPr>
                <w:rFonts w:ascii="Times New Roman" w:hAnsi="Times New Roman" w:eastAsia="Times New Roman" w:cs="Times New Roman"/>
                <w:b/>
                <w:color w:val="000000"/>
                <w:sz w:val="18"/>
              </w:rPr>
              <w:t xml:space="preserve">证明材料。</w:t>
            </w:r>
            <w:r/>
          </w:p>
        </w:tc>
      </w:tr>
      <w:tr>
        <w:trPr/>
        <w:tc>
          <w:tcPr>
            <w:gridSpan w:val="4"/>
            <w:tcBorders>
              <w:top w:val="none" w:color="000000" w:sz="4" w:space="0"/>
              <w:left w:val="single" w:color="000000" w:sz="12" w:space="0"/>
              <w:bottom w:val="single" w:color="000000" w:sz="8" w:space="0"/>
              <w:right w:val="single" w:color="000000" w:sz="12" w:space="0"/>
            </w:tcBorders>
            <w:tcMar>
              <w:left w:w="15" w:type="dxa"/>
              <w:top w:w="15" w:type="dxa"/>
              <w:right w:w="15" w:type="dxa"/>
              <w:bottom w:w="15" w:type="dxa"/>
            </w:tcMar>
            <w:tcW w:w="9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说明：企业业绩合同、项目负责人业绩合同不可兼得，且分包或转包业绩合同无效。</w:t>
            </w:r>
            <w:r/>
          </w:p>
        </w:tc>
      </w:tr>
      <w:tr>
        <w:trPr/>
        <w:tc>
          <w:tcPr>
            <w:gridSpan w:val="4"/>
            <w:tcBorders>
              <w:top w:val="none" w:color="000000" w:sz="4" w:space="0"/>
              <w:left w:val="single" w:color="000000" w:sz="12" w:space="0"/>
              <w:bottom w:val="single" w:color="000000" w:sz="8" w:space="0"/>
              <w:right w:val="single" w:color="000000" w:sz="12" w:space="0"/>
            </w:tcBorders>
            <w:tcMar>
              <w:left w:w="15" w:type="dxa"/>
              <w:top w:w="15" w:type="dxa"/>
              <w:right w:w="15" w:type="dxa"/>
              <w:bottom w:w="15" w:type="dxa"/>
            </w:tcMar>
            <w:tcW w:w="9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（二）、主观分（62分）</w:t>
            </w:r>
            <w:r/>
          </w:p>
        </w:tc>
      </w:tr>
      <w:tr>
        <w:trPr/>
        <w:tc>
          <w:tcPr>
            <w:tcBorders>
              <w:top w:val="none" w:color="000000" w:sz="4" w:space="0"/>
              <w:left w:val="single" w:color="000000" w:sz="12" w:space="0"/>
              <w:bottom w:val="single" w:color="000000" w:sz="8" w:space="0"/>
              <w:right w:val="single" w:color="000000" w:sz="8" w:space="0"/>
            </w:tcBorders>
            <w:tcMar>
              <w:left w:w="15" w:type="dxa"/>
              <w:top w:w="15" w:type="dxa"/>
              <w:right w:w="15" w:type="dxa"/>
              <w:bottom w:w="15" w:type="dxa"/>
            </w:tcMar>
            <w:tcW w:w="3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施工组织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8"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总体概述：施工组织总体设想、方案针对性。</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对项目总体设想全面深刻，论述完整清晰，总体组织符合实际、总体筹划合理，综合措施科学，得3分；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对项目总体设想基本全面，论述基本完整清晰，总体组织基本符合实际、总体筹划基本合理，综合措施基本科学，得2分；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对项目总体设想不全面，论述不完整不清晰，或总体组织不够符合实际、或总体筹划不够合理，或综合措施不够科学，得1分；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施工现场平面布置图和临时设施布置图。</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施工布局合理、方案的可行性和可靠性高，得</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施工布局较合理、方案的可行性和可靠性较高，得</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施工布局一般、方案基本无可操作性，得</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施工进度计划和各阶段进度的保证措施。</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进度计划和保证措施合理、完整、可行性高，得8分；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进度计划和保证措施较合理、较完整、可行性较高，得6分；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进度计划和保证措施基本合理、基本完整、基本具有可行性，得4分；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进度计划和保证措施一般，缺乏一定可行性，得2分；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各分部项工程的施工组织设计及质量保证措施。</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组织设计及质量保证体系内容详尽、措施齐全、可行性高，得8分；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组织设计及质量保证体系内容较详尽、措施较齐全、可行性较高，得6分；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组织设计及质量保证体系内容基本详尽、措施基本齐全，基本可行，得4分；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组织设计及质量保证体系和措施一般，得2分；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安全文明施工及环境保护措施</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安全生产体系健全、安全隐患分析全面、措施落实非常到位，得4分；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安全生产体系较健全、安全隐患分析较全面、措施落实较到位，得3分；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安全生产体系基本健全、安全隐患分析基本全面、措施落实基本到位，得2分；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安全生产体系一般、安全隐患分析缺乏、措施落实情况一般，得1分；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项目管理的人员配备、素质及管理经验。</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人员配置齐全、科学、合理，组织严谨，得8分；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人员配置齐全、较科学、较合理、组织较严谨，得6分；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人员配置齐全、科学、基本合理、组织基本严谨，得4分；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人员配置齐全、组织一般，得2分；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劳动力、机械设备和材料投入计划。</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劳动力分配合理，施工机具配备、材料投入科学合理，得8分；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劳动力分配较合理，施工机具配备、材料投入较科学合理，得6分；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劳动力分配基本合理，施工机具配备、材料投入基本科学合理，得4分；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劳动力分配一般，施工机具配备、材料投入一般，得2分；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关键施工技术、工艺及工程项目实施的重点、难点和解决方案。</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方案科学合理，详细、可操作性高，对工程重点、难点认识深刻、表述全面精确，得12分；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方案较科学合理，较详细、可操作性较高，对工程重点、难点认识比较深刻、表述比较全面精确，得9分；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方案基本科学合理，基本详细、基本可操作，对工程重点、难点结识基本深刻、表述基本全面精确，得6分；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方案一般，可操作性一般，对工程重点、难点认识不深刻、表述不全面不精确，得3分；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r>
        <w:trPr/>
        <w:tc>
          <w:tcPr>
            <w:tcBorders>
              <w:top w:val="none" w:color="000000" w:sz="4" w:space="0"/>
              <w:left w:val="single" w:color="000000" w:sz="12" w:space="0"/>
              <w:bottom w:val="single" w:color="000000" w:sz="12" w:space="0"/>
              <w:right w:val="single" w:color="000000" w:sz="8" w:space="0"/>
            </w:tcBorders>
            <w:tcMar>
              <w:left w:w="15" w:type="dxa"/>
              <w:top w:w="15" w:type="dxa"/>
              <w:right w:w="15" w:type="dxa"/>
              <w:bottom w:w="15" w:type="dxa"/>
            </w:tcMar>
            <w:tcW w:w="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7934" w:type="dxa"/>
            <w:vAlign w:val="center"/>
            <w:textDirection w:val="lrTb"/>
            <w:noWrap w:val="false"/>
          </w:tcPr>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季节性施工措施，成品、半成品保护措施，</w:t>
            </w:r>
            <w:r>
              <w:rPr>
                <w:rFonts w:ascii="SimSun" w:hAnsi="SimSun" w:eastAsia="SimSun" w:cs="SimSun"/>
                <w:color w:val="000000"/>
                <w:sz w:val="18"/>
              </w:rPr>
              <w:t xml:space="preserve">                </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措施描述详尽、全面、可行性高，得8分；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措施描述较详细、较全面、可行性较高，得6分；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措施描述基本全面、措施基本可行，得4分；</w:t>
            </w:r>
            <w:r/>
          </w:p>
          <w:p>
            <w:pPr>
              <w:ind w:left="0" w:right="0" w:firstLine="0"/>
              <w:spacing w:before="0" w:after="0" w:line="400" w:lineRule="atLeast"/>
              <w:tabs>
                <w:tab w:val="left" w:pos="3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措施描述一般、措施基本无可行性，得2分；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不提供不得分。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1.评分细则中要求提供的有关证书、检测报告等证明文件均需在有效期内，否则不予得分。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2.投标人按评分细则所有得分项目均视为对本次招标的承诺，中标后均作为合同的组成部分。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3.上所需资料均应真实、有效，如发现投标人涉嫌资料造假等，采购人将有权取消其中标资格，并保留进一步追究其法律责任的权利。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0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第四章采购需求</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采购标的</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采购标的</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985"/>
        <w:gridCol w:w="1261"/>
        <w:gridCol w:w="1048"/>
        <w:gridCol w:w="439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采购包预算金额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天目湖美术馆装饰装修及外立面改造工程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159.915891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Calibri" w:hAnsi="Calibri" w:eastAsia="Calibri" w:cs="Calibri"/>
                <w:color w:val="000000"/>
                <w:sz w:val="21"/>
              </w:rPr>
              <w:t xml:space="preserve">1200</w:t>
            </w:r>
            <w:r>
              <w:rPr>
                <w:rFonts w:ascii="SimSun" w:hAnsi="SimSun" w:eastAsia="SimSun" w:cs="SimSun"/>
                <w:color w:val="000000"/>
                <w:sz w:val="21"/>
              </w:rPr>
              <w:t xml:space="preserve">㎡室内装饰装修以及外立面改造等</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商务要求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 工期和质量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工期：</w:t>
      </w:r>
      <w:r>
        <w:rPr>
          <w:rFonts w:ascii="Arial" w:hAnsi="Arial" w:eastAsia="Arial" w:cs="Arial"/>
          <w:b/>
          <w:color w:val="0000ff"/>
          <w:sz w:val="24"/>
        </w:rPr>
        <w:t xml:space="preserve">自合同签订之日起60日验收合格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质量：合格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付款条件</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ff"/>
          <w:sz w:val="24"/>
        </w:rPr>
        <w:t xml:space="preserve">1)</w:t>
      </w:r>
      <w:r>
        <w:rPr>
          <w:rFonts w:ascii="SimSun" w:hAnsi="SimSun" w:eastAsia="SimSun" w:cs="SimSun"/>
          <w:b/>
          <w:color w:val="0000ff"/>
          <w:sz w:val="24"/>
        </w:rPr>
        <w:t xml:space="preserve">工程竣工验收合格后支付至合同价款</w:t>
      </w:r>
      <w:r>
        <w:rPr>
          <w:rFonts w:ascii="Times New Roman" w:hAnsi="Times New Roman" w:eastAsia="Times New Roman" w:cs="Times New Roman"/>
          <w:b/>
          <w:color w:val="0000ff"/>
          <w:sz w:val="24"/>
        </w:rPr>
        <w:t xml:space="preserve">[</w:t>
      </w:r>
      <w:r>
        <w:rPr>
          <w:rFonts w:ascii="SimSun" w:hAnsi="SimSun" w:eastAsia="SimSun" w:cs="SimSun"/>
          <w:b/>
          <w:color w:val="0000ff"/>
          <w:sz w:val="24"/>
        </w:rPr>
        <w:t xml:space="preserve">扣除暂列金额（含规费及税金）及暂估价（含规费及税金）</w:t>
      </w:r>
      <w:r>
        <w:rPr>
          <w:rFonts w:ascii="Times New Roman" w:hAnsi="Times New Roman" w:eastAsia="Times New Roman" w:cs="Times New Roman"/>
          <w:b/>
          <w:color w:val="0000ff"/>
          <w:sz w:val="24"/>
        </w:rPr>
        <w:t xml:space="preserve">]</w:t>
      </w:r>
      <w:r>
        <w:rPr>
          <w:rFonts w:ascii="SimSun" w:hAnsi="SimSun" w:eastAsia="SimSun" w:cs="SimSun"/>
          <w:b/>
          <w:color w:val="0000ff"/>
          <w:sz w:val="24"/>
        </w:rPr>
        <w:t xml:space="preserve">的 </w:t>
      </w:r>
      <w:r>
        <w:rPr>
          <w:rFonts w:ascii="Times New Roman" w:hAnsi="Times New Roman" w:eastAsia="Times New Roman" w:cs="Times New Roman"/>
          <w:b/>
          <w:color w:val="0000ff"/>
          <w:sz w:val="24"/>
        </w:rPr>
        <w:t xml:space="preserve">80%</w:t>
      </w:r>
      <w:r>
        <w:rPr>
          <w:rFonts w:ascii="SimSun" w:hAnsi="SimSun" w:eastAsia="SimSun" w:cs="SimSun"/>
          <w:b/>
          <w:color w:val="0000ff"/>
          <w:sz w:val="24"/>
        </w:rPr>
        <w:t xml:space="preserve">；</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ff"/>
          <w:sz w:val="24"/>
        </w:rPr>
        <w:t xml:space="preserve">2)</w:t>
      </w:r>
      <w:r>
        <w:rPr>
          <w:rFonts w:ascii="SimSun" w:hAnsi="SimSun" w:eastAsia="SimSun" w:cs="SimSun"/>
          <w:b/>
          <w:color w:val="0000ff"/>
          <w:sz w:val="24"/>
        </w:rPr>
        <w:t xml:space="preserve">工程结算经审计结束后付至审定价的 </w:t>
      </w:r>
      <w:r>
        <w:rPr>
          <w:rFonts w:ascii="Times New Roman" w:hAnsi="Times New Roman" w:eastAsia="Times New Roman" w:cs="Times New Roman"/>
          <w:b/>
          <w:color w:val="0000ff"/>
          <w:sz w:val="24"/>
        </w:rPr>
        <w:t xml:space="preserve">97%</w:t>
      </w:r>
      <w:r>
        <w:rPr>
          <w:rFonts w:ascii="SimSun" w:hAnsi="SimSun" w:eastAsia="SimSun" w:cs="SimSun"/>
          <w:b/>
          <w:color w:val="0000ff"/>
          <w:sz w:val="24"/>
        </w:rPr>
        <w:t xml:space="preserve">；</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ff"/>
          <w:sz w:val="24"/>
        </w:rPr>
        <w:t xml:space="preserve">3)</w:t>
      </w:r>
      <w:r>
        <w:rPr>
          <w:rFonts w:ascii="SimSun" w:hAnsi="SimSun" w:eastAsia="SimSun" w:cs="SimSun"/>
          <w:b/>
          <w:color w:val="0000ff"/>
          <w:sz w:val="24"/>
        </w:rPr>
        <w:t xml:space="preserve">工程结算审定价的 </w:t>
      </w:r>
      <w:r>
        <w:rPr>
          <w:rFonts w:ascii="Times New Roman" w:hAnsi="Times New Roman" w:eastAsia="Times New Roman" w:cs="Times New Roman"/>
          <w:b/>
          <w:color w:val="0000ff"/>
          <w:sz w:val="24"/>
        </w:rPr>
        <w:t xml:space="preserve">3%</w:t>
      </w:r>
      <w:r>
        <w:rPr>
          <w:rFonts w:ascii="SimSun" w:hAnsi="SimSun" w:eastAsia="SimSun" w:cs="SimSun"/>
          <w:b/>
          <w:color w:val="0000ff"/>
          <w:sz w:val="24"/>
        </w:rPr>
        <w:t xml:space="preserve">作为工程质量保证金，在缺陷责任期满后付清。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三、施工要求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1.工程量清单、控制价：详见附件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四、磋商报价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1.本工程磋商报价采用工程量清单报价。供应商应按要求提供已标价工程量清单。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*已标价工程量清单包括（根据最新工程量清单计价规范提供）</w:t>
      </w:r>
      <w:r>
        <w:rPr>
          <w:rFonts w:ascii="SimSun" w:hAnsi="SimSun" w:eastAsia="SimSun" w:cs="SimSun"/>
          <w:color w:val="000000"/>
          <w:sz w:val="24"/>
        </w:rPr>
        <w:t xml:space="preserve">: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2.本项目磋商报价为</w:t>
      </w:r>
      <w:r>
        <w:rPr>
          <w:rFonts w:ascii="SimSun" w:hAnsi="SimSun" w:eastAsia="SimSun" w:cs="SimSun"/>
          <w:b/>
          <w:color w:val="000000"/>
          <w:sz w:val="24"/>
        </w:rPr>
        <w:t xml:space="preserve">固定综合单价</w:t>
      </w:r>
      <w:r>
        <w:rPr>
          <w:rFonts w:ascii="SimSun" w:hAnsi="SimSun" w:eastAsia="SimSun" w:cs="SimSun"/>
          <w:color w:val="000000"/>
          <w:sz w:val="24"/>
        </w:rPr>
        <w:t xml:space="preserve">，磋商报价为供应商在磋商响应文件中提出的各项支付金额的总和。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3.供应商所填报的各项基价中的各种材料单价在合同实施期间按合同条款约定调整，供应商在报综合单价时应考虑各种风险因素和自己的承受能力。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4.因设计变更引起工程项目、工程量变化的，变更合同价款详见合同条款。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5.代理机构反对盲目压低报价。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6.磋商报价的编制要求：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（3）其他项目清单中的材料暂估价、暂列金额、专业工程暂估价、预留金均不能优惠，虽在开标时计入供应商的报价中，但不应视为供应商所有。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（4）工程量清单是按建设方提供相关的图纸、规范、标准图集和技术资料、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及其工程量计算规范、2014版《江苏省建筑与装饰工程计价定额》、2014版《江苏省安装工程计价定额》、2014年《江苏省建设工程费用定额》、苏建价[2014]448号文、苏建价[2016]154号文、苏建函价[2019]178号文，江苏省住房和城乡建设厅公告[2018]第24号、[2019]第19号、常建（2014）279号文、常建（2016）94号文、常建[2017]103号文、常建[2019]1号文、江苏省机械台班计价定额含税价与除税价表、江苏省</w:t>
      </w:r>
      <w:r>
        <w:rPr>
          <w:rFonts w:ascii="SimSun" w:hAnsi="SimSun" w:eastAsia="SimSun" w:cs="SimSun"/>
          <w:color w:val="000000"/>
          <w:sz w:val="24"/>
        </w:rPr>
        <w:t xml:space="preserve">及常州市有关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（6）供应商应按采购人提供的工程量清单填报价格，填写的项目编码、项目名称、项目特征、计量单位、工程量必须与采购人提供的一致。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（8）因工程变更造成施工方案变更,引起措施项目发生变化时。措施项目费进行相应的调整，详见合同条款。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磋商报价</w:t>
      </w:r>
      <w:r>
        <w:rPr>
          <w:rFonts w:ascii="SimSun" w:hAnsi="SimSun" w:eastAsia="SimSun" w:cs="SimSun"/>
          <w:color w:val="000000"/>
          <w:sz w:val="24"/>
        </w:rPr>
        <w:t xml:space="preserve">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7.供应商的最后报价作为评分依据，如最后报价与第一次报价不一致，则签订合同时单价根据最终报价与首次报价之比同比例下浮。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第五章合同草案条款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8"/>
        </w:rPr>
        <w:t xml:space="preserve">建 筑 工 程 施 工 合 同</w:t>
        <w:br/>
        <w:br/>
      </w:r>
      <w:r>
        <w:rPr>
          <w:rFonts w:ascii="SimSun" w:hAnsi="SimSun" w:eastAsia="SimSun" w:cs="SimSun"/>
          <w:b/>
          <w:color w:val="000000"/>
          <w:sz w:val="36"/>
        </w:rPr>
        <w:t xml:space="preserve">（</w:t>
      </w:r>
      <w:r>
        <w:rPr>
          <w:rFonts w:ascii="Times New Roman" w:hAnsi="Times New Roman" w:eastAsia="Times New Roman" w:cs="Times New Roman"/>
          <w:color w:val="000000"/>
          <w:sz w:val="36"/>
        </w:rPr>
        <w:t xml:space="preserve">GF-2017-0201</w:t>
      </w:r>
      <w:r>
        <w:rPr>
          <w:rFonts w:ascii="SimSun" w:hAnsi="SimSun" w:eastAsia="SimSun" w:cs="SimSun"/>
          <w:b/>
          <w:color w:val="000000"/>
          <w:sz w:val="36"/>
        </w:rPr>
        <w:t xml:space="preserve">）</w:t>
      </w:r>
      <w:r>
        <w:rPr>
          <w:rFonts w:ascii="FangSong" w:hAnsi="FangSong" w:eastAsia="FangSong" w:cs="FangSong"/>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8"/>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c00000"/>
          <w:sz w:val="32"/>
        </w:rPr>
        <w:t xml:space="preserve">项目编号</w:t>
      </w:r>
      <w:r>
        <w:rPr>
          <w:rFonts w:ascii="STZhongsong" w:hAnsi="STZhongsong" w:eastAsia="STZhongsong" w:cs="STZhongsong"/>
          <w:color w:val="000000"/>
          <w:sz w:val="32"/>
        </w:rPr>
        <w:t xml:space="preserve">：</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c00000"/>
          <w:sz w:val="32"/>
        </w:rPr>
        <w:t xml:space="preserve">项目名称</w:t>
      </w:r>
      <w:r>
        <w:rPr>
          <w:rFonts w:ascii="STZhongsong" w:hAnsi="STZhongsong" w:eastAsia="STZhongsong" w:cs="STZhongsong"/>
          <w:color w:val="000000"/>
          <w:sz w:val="32"/>
        </w:rPr>
        <w:t xml:space="preserve">：</w:t>
      </w:r>
      <w:r>
        <w:rPr>
          <w:rFonts w:ascii="SimSun" w:hAnsi="SimSun" w:eastAsia="SimSun" w:cs="SimSun"/>
          <w:color w:val="000000"/>
          <w:sz w:val="32"/>
          <w:u w:val="single"/>
        </w:rPr>
        <w:t xml:space="preserve">天目湖美术馆装饰装修及外立面改造工程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rPr>
        <w:t xml:space="preserve"> </w:t>
      </w: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rPr>
        <w:t xml:space="preserve">国家工商行政管理总局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rPr>
        <w:t xml:space="preserve">中华人民共和国建设部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rPr>
        <w:t xml:space="preserve">江苏省常州工商行政管理局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rPr>
        <w:t xml:space="preserve">常 州 市 建 设 委 员 会</w:t>
      </w: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c00000"/>
          <w:sz w:val="24"/>
        </w:rPr>
        <w:t xml:space="preserve">发包人（全称）：</w:t>
      </w:r>
      <w:r>
        <w:rPr>
          <w:rFonts w:ascii="SimSun" w:hAnsi="SimSun" w:eastAsia="SimSun" w:cs="SimSun"/>
          <w:b/>
          <w:color w:val="c00000"/>
          <w:sz w:val="24"/>
          <w:u w:val="single"/>
        </w:rPr>
        <w:t xml:space="preserve">溧阳市天目湖镇人民政府</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c00000"/>
          <w:sz w:val="24"/>
        </w:rPr>
        <w:t xml:space="preserve">承包人（全称）：</w:t>
      </w:r>
      <w:r>
        <w:rPr>
          <w:rFonts w:ascii="SimSun" w:hAnsi="SimSun" w:eastAsia="SimSun" w:cs="SimSun"/>
          <w:b/>
          <w:color w:val="c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根据《中华人民共和国民法典》、《中华人民共和国建筑法》及有关法律规定，遵循平等、自愿、公平和诚实信用的原则，双方协商一致，共同达成如下协议：</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一、工程概况</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1.工程名称：</w:t>
      </w:r>
      <w:r>
        <w:rPr>
          <w:rFonts w:ascii="SimSun" w:hAnsi="SimSun" w:eastAsia="SimSun" w:cs="SimSun"/>
          <w:color w:val="c00000"/>
          <w:sz w:val="24"/>
          <w:u w:val="single"/>
        </w:rPr>
        <w:t xml:space="preserve">天目湖美术馆装饰装修及外立面改造工程</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天目湖镇</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3.工程内容：</w:t>
      </w:r>
      <w:r>
        <w:rPr>
          <w:rFonts w:ascii="SimSun" w:hAnsi="SimSun" w:eastAsia="SimSun" w:cs="SimSun"/>
          <w:color w:val="000000"/>
          <w:sz w:val="24"/>
          <w:u w:val="single"/>
        </w:rPr>
        <w:t xml:space="preserve">工程量清单范围内的所有工程</w:t>
      </w:r>
      <w:r>
        <w:rPr>
          <w:rFonts w:ascii="SimSun" w:hAnsi="SimSun" w:eastAsia="SimSun" w:cs="SimSun"/>
          <w:color w:val="000000"/>
          <w:sz w:val="24"/>
        </w:rPr>
        <w:t xml:space="preserve">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4.建筑面积：约/平方米</w:t>
      </w:r>
      <w:r/>
    </w:p>
    <w:p>
      <w:pPr>
        <w:ind w:left="0" w:right="0" w:firstLine="47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5.资金来源：</w:t>
      </w:r>
      <w:r>
        <w:rPr>
          <w:rFonts w:ascii="SimSun" w:hAnsi="SimSun" w:eastAsia="SimSun" w:cs="SimSun"/>
          <w:color w:val="000000"/>
          <w:sz w:val="24"/>
          <w:u w:val="single"/>
        </w:rPr>
        <w:t xml:space="preserve">财政</w:t>
      </w:r>
      <w:r/>
    </w:p>
    <w:p>
      <w:pPr>
        <w:ind w:left="0" w:right="0" w:firstLine="47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二、工程承包范围：</w:t>
      </w:r>
      <w:r>
        <w:rPr>
          <w:rFonts w:ascii="SimSun" w:hAnsi="SimSun" w:eastAsia="SimSun" w:cs="SimSun"/>
          <w:color w:val="000000"/>
          <w:sz w:val="24"/>
          <w:u w:val="single"/>
        </w:rPr>
        <w:t xml:space="preserve">工程量清单范围内的所有工程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三、合同工期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    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工期总日历天数：60 日历天。工期总日历天数与根据前述计划开竣工日期计算的工期天数不一致的，以工期总日历天数为准。具体开工日期以监理工程师批复的开工报告日期为准。</w:t>
      </w:r>
      <w:r/>
    </w:p>
    <w:p>
      <w:pPr>
        <w:ind w:left="0" w:right="0" w:firstLine="411"/>
        <w:jc w:val="both"/>
        <w:spacing w:before="0" w:after="156"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四、质量标准：</w:t>
      </w:r>
      <w:r>
        <w:rPr>
          <w:rFonts w:ascii="SimSun" w:hAnsi="SimSun" w:eastAsia="SimSun" w:cs="SimSun"/>
          <w:color w:val="000000"/>
          <w:sz w:val="24"/>
          <w:u w:val="single"/>
        </w:rPr>
        <w:t xml:space="preserve">  合格 </w:t>
      </w:r>
      <w:r>
        <w:rPr>
          <w:rFonts w:ascii="SimSun" w:hAnsi="SimSun" w:eastAsia="SimSun" w:cs="SimSun"/>
          <w:color w:val="000000"/>
          <w:sz w:val="24"/>
        </w:rPr>
        <w:t xml:space="preserve">标准。</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c00000"/>
          <w:sz w:val="21"/>
        </w:rPr>
        <w:t xml:space="preserve"> </w:t>
      </w:r>
      <w:r>
        <w:rPr>
          <w:rFonts w:ascii="SimSun" w:hAnsi="SimSun" w:eastAsia="SimSun" w:cs="SimSun"/>
          <w:color w:val="c00000"/>
          <w:sz w:val="24"/>
        </w:rPr>
        <w:t xml:space="preserve">五、签约合同价款</w:t>
        <w:tab/>
      </w:r>
      <w:r/>
    </w:p>
    <w:p>
      <w:pPr>
        <w:ind w:left="719" w:right="0" w:hanging="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rPr>
          <w:rFonts w:ascii="SimSun" w:hAnsi="SimSun" w:eastAsia="SimSun" w:cs="SimSun"/>
          <w:color w:val="000000"/>
          <w:sz w:val="24"/>
          <w:u w:val="single"/>
        </w:rPr>
        <w:t xml:space="preserve">                    </w:t>
      </w: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ind w:left="719" w:right="0" w:hanging="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其中：暂列金额：</w:t>
      </w:r>
      <w:r>
        <w:rPr>
          <w:rFonts w:ascii="SimSun" w:hAnsi="SimSun" w:eastAsia="SimSun" w:cs="SimSun"/>
          <w:color w:val="000000"/>
          <w:sz w:val="24"/>
          <w:u w:val="single"/>
        </w:rPr>
        <w:t xml:space="preserve">                     </w:t>
      </w: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numPr>
          <w:ilvl w:val="0"/>
          <w:numId w:val="11"/>
        </w:numPr>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合同价格形式：固定单价合同形式。</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六、项目经理</w:t>
      </w:r>
      <w:r/>
    </w:p>
    <w:p>
      <w:pPr>
        <w:ind w:left="0" w:right="0" w:firstLine="7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七</w:t>
      </w:r>
      <w:r>
        <w:rPr>
          <w:rFonts w:ascii="SimSun" w:hAnsi="SimSun" w:eastAsia="SimSun" w:cs="SimSun"/>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（1）合同协议书；（2）中标通知书；（3）投标函及投标函附录；（4）专用合同条款；（5）通用合同条款；（6）技术标准和要求；（7）图纸；（8）已标价工程量清单；（9）其他合同文件。</w:t>
      </w:r>
      <w:r/>
    </w:p>
    <w:p>
      <w:pPr>
        <w:ind w:left="0" w:right="0" w:firstLine="47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双方有关工程的洽商、变更等书面协议或文件视为本合同的组成部分。</w:t>
      </w:r>
      <w:r/>
    </w:p>
    <w:p>
      <w:pPr>
        <w:ind w:left="0" w:right="0" w:firstLine="47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七、本协议书中词语含义与第二部分《通用合同》条款中赋予的含义相同。</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八、承包人向发包人承诺按照合同约定进行施工、竣工并在质量保修期内承担工程质量保修责任。</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九、发包人向承包人承诺按照约定的期限和方式支付合同价款及其他应当支付的款项。</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c00000"/>
          <w:sz w:val="24"/>
        </w:rPr>
        <w:t xml:space="preserve"> 十、签订时间</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十一、合同未尽事宜，合同当事人另行签订补充协议，补充协议是合同的组成部分。</w:t>
      </w:r>
      <w:r/>
    </w:p>
    <w:p>
      <w:pPr>
        <w:ind w:left="0" w:right="0" w:firstLine="48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十二、本合同双方约定签字盖章后生效。</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肆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4"/>
        <w:gridCol w:w="4344"/>
      </w:tblGrid>
      <w:tr>
        <w:trPr>
          <w:trHeight w:val="7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tc>
      </w:tr>
      <w:tr>
        <w:trPr>
          <w:trHeight w:val="59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tc>
      </w:tr>
      <w:tr>
        <w:trPr>
          <w:trHeight w:val="54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r>
        <w:trPr>
          <w:trHeight w:val="57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r>
      <w:tr>
        <w:trPr>
          <w:trHeight w:val="61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r>
      <w:tr>
        <w:trPr>
          <w:trHeight w:val="64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r>
      <w:tr>
        <w:trPr>
          <w:trHeight w:val="6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rHeight w:val="57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真：</w:t>
            </w:r>
            <w:r/>
          </w:p>
        </w:tc>
      </w:tr>
      <w:tr>
        <w:trPr>
          <w:trHeight w:val="5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r>
      <w:tr>
        <w:trPr>
          <w:trHeight w:val="52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6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4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r>
    </w:tbl>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9"/>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采用《建设工程施工合同（示范文本）》（</w:t>
      </w:r>
      <w:r>
        <w:rPr>
          <w:rFonts w:ascii="Times New Roman" w:hAnsi="Times New Roman" w:eastAsia="Times New Roman" w:cs="Times New Roman"/>
          <w:color w:val="000000"/>
          <w:sz w:val="32"/>
        </w:rPr>
        <w:t xml:space="preserve">GF-2017-0201</w:t>
      </w:r>
      <w:r>
        <w:rPr>
          <w:rFonts w:ascii="SimSun" w:hAnsi="SimSun" w:eastAsia="SimSun" w:cs="SimSun"/>
          <w:b/>
          <w:color w:val="000000"/>
          <w:sz w:val="32"/>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Hei" w:hAnsi="SimHei" w:eastAsia="SimHei" w:cs="SimHei"/>
          <w:b/>
          <w:color w:val="000000"/>
          <w:sz w:val="24"/>
        </w:rPr>
        <w:t xml:space="preserve">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59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合同双方在合同履行过程中签订的补充协议亦构成合同文件的组成部分，其解释顺序视其内容与其他合同文件的相互关系而定。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开工前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四份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59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按发包人及监理要求</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按发包人及监理要求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按发包人及监理要求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按发包人及监理要求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按规定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另行协商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按发包人及监理要求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按发包人及监理要求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按发包人及监理要求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按发包人及监理要求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按发包人及监理要求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按发包人及监理要求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按发包人与承包人双方约定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场内临时道路及设施均由承包人自行负责，费用自理</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著作权属于发包人</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除严格用于合同目的外，图纸、规范和其他文件未经发包人许可，承包人不得用于或泄露给第三方。 </w:t>
      </w:r>
      <w:r>
        <w:rPr>
          <w:rFonts w:ascii="SimSun" w:hAnsi="SimSun" w:eastAsia="SimSun" w:cs="SimSun"/>
          <w:color w:val="000000"/>
          <w:sz w:val="24"/>
        </w:rPr>
        <w:t xml:space="preserve">于承包人为实施工程所编制文件的著作权的归属：</w:t>
      </w:r>
      <w:r>
        <w:rPr>
          <w:rFonts w:ascii="SimSun" w:hAnsi="SimSun" w:eastAsia="SimSun" w:cs="SimSun"/>
          <w:color w:val="000000"/>
          <w:sz w:val="24"/>
          <w:u w:val="single"/>
        </w:rPr>
        <w:t xml:space="preserve">属于发包人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严格用于合同目的，不得用于或泄露给第三方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由承包人承担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   否</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Hei" w:hAnsi="SimHei" w:eastAsia="SimHei" w:cs="SimHei"/>
          <w:b/>
          <w:color w:val="000000"/>
          <w:sz w:val="24"/>
        </w:rPr>
        <w:t xml:space="preserve">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姓名：</w:t>
      </w:r>
      <w:r>
        <w:rPr>
          <w:rFonts w:ascii="SimSun" w:hAnsi="SimSun" w:eastAsia="SimSun" w:cs="SimSun"/>
          <w:color w:val="c00000"/>
          <w:sz w:val="24"/>
          <w:u w:val="single"/>
        </w:rPr>
        <w:t xml:space="preserve"> 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身份证号：</w:t>
      </w:r>
      <w:r>
        <w:rPr>
          <w:rFonts w:ascii="SimSun" w:hAnsi="SimSun" w:eastAsia="SimSun" w:cs="SimSun"/>
          <w:color w:val="c00000"/>
          <w:sz w:val="24"/>
          <w:u w:val="single"/>
        </w:rPr>
        <w:t xml:space="preserve">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职务：</w:t>
      </w:r>
      <w:r>
        <w:rPr>
          <w:rFonts w:ascii="SimSun" w:hAnsi="SimSun" w:eastAsia="SimSun" w:cs="SimSun"/>
          <w:color w:val="c00000"/>
          <w:sz w:val="24"/>
          <w:u w:val="single"/>
        </w:rPr>
        <w:t xml:space="preserve">           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联系电话：</w:t>
      </w:r>
      <w:r>
        <w:rPr>
          <w:rFonts w:ascii="SimSun" w:hAnsi="SimSun" w:eastAsia="SimSun" w:cs="SimSun"/>
          <w:color w:val="c00000"/>
          <w:sz w:val="24"/>
          <w:u w:val="single"/>
        </w:rPr>
        <w:t xml:space="preserve">           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主持开展施工现场的全面工作及对监理工作的检查、工程造价的签证认可。负责工程建设的内、外部关系协调，对工程投资影响因素的确认，负责解决应由发包人处理的问题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 。</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Hei" w:hAnsi="SimHei" w:eastAsia="SimHei" w:cs="SimHei"/>
          <w:b/>
          <w:color w:val="000000"/>
          <w:sz w:val="24"/>
        </w:rPr>
        <w:t xml:space="preserve">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①承包人负责整理和提交的竣工验收资料应当符合工程所在地建设行政主管部门和（或）城市建设档案管理机构有关施工资料的要求，具体内容包括：按发包人要求。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②发包人对图纸资料的保密要求：除严格用于合同目的除外，图纸、规范和其他文件未经发包人许可，承包人不得用于或泄露给第三方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 2份 </w:t>
      </w:r>
      <w:r>
        <w:rPr>
          <w:rFonts w:ascii="SimSun" w:hAnsi="SimSun" w:eastAsia="SimSun" w:cs="SimSun"/>
          <w:color w:val="000000"/>
          <w:sz w:val="24"/>
        </w:rPr>
        <w:t xml:space="preserve">。</w:t>
      </w:r>
      <w:r/>
    </w:p>
    <w:p>
      <w:pPr>
        <w:ind w:left="63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费用由承包人承担  </w:t>
      </w:r>
      <w:r>
        <w:rPr>
          <w:rFonts w:ascii="SimSun" w:hAnsi="SimSun" w:eastAsia="SimSun" w:cs="SimSun"/>
          <w:color w:val="000000"/>
          <w:sz w:val="24"/>
        </w:rPr>
        <w:t xml:space="preserve">。</w:t>
      </w:r>
      <w:r/>
    </w:p>
    <w:p>
      <w:pPr>
        <w:ind w:left="63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工程竣工验收合格后30日内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书面及电子版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（6）承包人应履行的其他义务：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1、承包人应按规定缴纳农民工工资保证金，保证不因为任何情况而出现拖欠农民工工资的情况，否则，招标人将从工程款中代为扣除支付并予以拖欠金额50%的处罚。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姓名：</w:t>
      </w:r>
      <w:r>
        <w:rPr>
          <w:rFonts w:ascii="SimSun" w:hAnsi="SimSun" w:eastAsia="SimSun" w:cs="SimSun"/>
          <w:color w:val="c00000"/>
          <w:sz w:val="24"/>
          <w:u w:val="single"/>
        </w:rPr>
        <w:t xml:space="preserve">       </w:t>
      </w:r>
      <w:r>
        <w:rPr>
          <w:rFonts w:ascii="SimSun" w:hAnsi="SimSun" w:eastAsia="SimSun" w:cs="SimSun"/>
          <w:b/>
          <w:color w:val="c00000"/>
          <w:sz w:val="24"/>
          <w:u w:val="single"/>
        </w:rPr>
        <w:t xml:space="preserve">        </w:t>
      </w:r>
      <w:r>
        <w:rPr>
          <w:rFonts w:ascii="SimSun" w:hAnsi="SimSun" w:eastAsia="SimSun" w:cs="SimSun"/>
          <w:color w:val="c00000"/>
          <w:sz w:val="24"/>
          <w:u w:val="single"/>
        </w:rPr>
        <w:t xml:space="preserve"></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身份证号：</w:t>
      </w:r>
      <w:r>
        <w:rPr>
          <w:rFonts w:ascii="SimSun" w:hAnsi="SimSun" w:eastAsia="SimSun" w:cs="SimSun"/>
          <w:color w:val="c00000"/>
          <w:sz w:val="24"/>
          <w:u w:val="single"/>
        </w:rPr>
        <w:t xml:space="preserve"> 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建造师执业资格等级：</w:t>
      </w:r>
      <w:r>
        <w:rPr>
          <w:rFonts w:ascii="SimSun" w:hAnsi="SimSun" w:eastAsia="SimSun" w:cs="SimSun"/>
          <w:color w:val="c00000"/>
          <w:sz w:val="24"/>
          <w:u w:val="single"/>
        </w:rPr>
        <w:t xml:space="preserve">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建造师注册证书号：</w:t>
      </w:r>
      <w:r>
        <w:rPr>
          <w:rFonts w:ascii="SimSun" w:hAnsi="SimSun" w:eastAsia="SimSun" w:cs="SimSun"/>
          <w:color w:val="c00000"/>
          <w:sz w:val="24"/>
          <w:u w:val="single"/>
        </w:rPr>
        <w:t xml:space="preserve">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联系电话：</w:t>
      </w:r>
      <w:r>
        <w:rPr>
          <w:rFonts w:ascii="SimSun" w:hAnsi="SimSun" w:eastAsia="SimSun" w:cs="SimSun"/>
          <w:color w:val="c00000"/>
          <w:sz w:val="24"/>
          <w:u w:val="single"/>
        </w:rPr>
        <w:t xml:space="preserve">                   </w:t>
      </w:r>
      <w:r>
        <w:rPr>
          <w:rFonts w:ascii="SimSun" w:hAnsi="SimSun" w:eastAsia="SimSun" w:cs="SimSun"/>
          <w:color w:val="c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负责工程现场的质量、安全、进度等全面管理，现场协调等工作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项目经理每周不少于5天、每天不少于8小时，必须参加现场的工地例会、专题例会等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由承包人承担相应责任</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原则上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如出现特殊情况，另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不得擅自更换项目经理、技术负责人且项目经理在施工期间常驻现场（每月不少于24天，每天不少于8小时），建设方负责对工程项目经理的出勤进行考核，缺勤一天扣2000元人民币。若有项目经理变更，未经发包人同意，发包人有权解除合同，没收保函并追究由此带来的发包人的一切损失。扣款将在同期工程款中扣除。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3.2.4 承包人无正当理由拒绝更换项目经理的违约责任：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双方协商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b/>
          <w:color w:val="000000"/>
          <w:sz w:val="24"/>
        </w:rPr>
        <w:t xml:space="preserve">  否。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监理人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按监理合同规定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按监理合同规定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由承包人提供办公场所，费用由承包人承担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Hei" w:hAnsi="SimHei" w:eastAsia="SimHei" w:cs="SimHei"/>
          <w:b/>
          <w:color w:val="000000"/>
          <w:sz w:val="24"/>
        </w:rPr>
        <w:t xml:space="preserve">工程质量</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按本合同通用条款规定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12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24   </w:t>
      </w:r>
      <w:r>
        <w:rPr>
          <w:rFonts w:ascii="SimSun" w:hAnsi="SimSun" w:eastAsia="SimSun" w:cs="SimSun"/>
          <w:color w:val="000000"/>
          <w:sz w:val="24"/>
        </w:rPr>
        <w:t xml:space="preserve">小时。</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Hei" w:hAnsi="SimHei" w:eastAsia="SimHei" w:cs="SimHei"/>
          <w:b/>
          <w:color w:val="000000"/>
          <w:sz w:val="24"/>
        </w:rPr>
        <w:t xml:space="preserve">安全文明施工与环境保护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按通用条款要求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按通用条款要求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  </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w:t>
      </w:r>
      <w:r>
        <w:rPr>
          <w:rFonts w:ascii="SimHei" w:hAnsi="SimHei" w:eastAsia="SimHei" w:cs="SimHei"/>
          <w:b/>
          <w:color w:val="000000"/>
          <w:sz w:val="24"/>
        </w:rPr>
        <w:t xml:space="preserve">工期和进度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按发包人及监理人的要求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按发包人及监理人的要求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按发包人、监理人的要求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开工前 </w:t>
      </w:r>
      <w:r>
        <w:rPr>
          <w:rFonts w:ascii="SimSun" w:hAnsi="SimSun" w:eastAsia="SimSun" w:cs="SimSun"/>
          <w:color w:val="000000"/>
          <w:sz w:val="24"/>
        </w:rPr>
        <w:t xml:space="preserve">。</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开工前</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开工前</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开工前3天完成坐标点与水准点的复验工作</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按延误合同工期的天数承担分部分项工程费的0.2‰/天的逾期违约金，并承担由此造成的工期延误损失。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w:t>
      </w:r>
      <w:r>
        <w:rPr>
          <w:rFonts w:ascii="SimSun" w:hAnsi="SimSun" w:eastAsia="SimSun" w:cs="SimSun"/>
          <w:color w:val="000000"/>
          <w:sz w:val="24"/>
          <w:u w:val="single"/>
        </w:rPr>
        <w:t xml:space="preserve">   合同价的5%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w:t>
      </w:r>
      <w:r>
        <w:rPr>
          <w:rFonts w:ascii="SimHei" w:hAnsi="SimHei" w:eastAsia="SimHei" w:cs="SimHei"/>
          <w:b/>
          <w:color w:val="000000"/>
          <w:sz w:val="24"/>
        </w:rPr>
        <w:t xml:space="preserve">材料与设备</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由承包人承担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按监理人及发包人要求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9. 试验与检验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Hei" w:hAnsi="SimHei" w:eastAsia="SimHei" w:cs="SimHei"/>
          <w:b/>
          <w:color w:val="000000"/>
          <w:sz w:val="24"/>
        </w:rPr>
        <w:t xml:space="preserve">变更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 按发包人及监理人的要求。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按发包人及监理人的要求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无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暂估价材料和工程设备的明细详见附件11：《暂估价一览表》。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10.7.1 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按发包人要求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   否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   </w:t>
      </w:r>
      <w:r>
        <w:rPr>
          <w:rFonts w:ascii="SimSun" w:hAnsi="SimSun" w:eastAsia="SimSun" w:cs="SimSun"/>
          <w:color w:val="000000"/>
          <w:sz w:val="24"/>
        </w:rPr>
        <w:t xml:space="preserve">%时，或材料单价跌幅以已标价工程量清单或预算书中载明材料单价为基础超过</w:t>
      </w:r>
      <w:r>
        <w:rPr>
          <w:rFonts w:ascii="SimSun" w:hAnsi="SimSun" w:eastAsia="SimSun" w:cs="SimSun"/>
          <w:color w:val="000000"/>
          <w:sz w:val="24"/>
          <w:u w:val="single"/>
        </w:rPr>
        <w:t xml:space="preserve">   </w:t>
      </w:r>
      <w:r>
        <w:rPr>
          <w:rFonts w:ascii="SimSun" w:hAnsi="SimSun" w:eastAsia="SimSun" w:cs="SimSun"/>
          <w:color w:val="000000"/>
          <w:sz w:val="24"/>
        </w:rPr>
        <w:t xml:space="preserve">%时，其超过部分据实调整。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 /</w:t>
      </w:r>
      <w:r>
        <w:rPr>
          <w:rFonts w:ascii="SimSun" w:hAnsi="SimSun" w:eastAsia="SimSun" w:cs="SimSun"/>
          <w:color w:val="000000"/>
          <w:sz w:val="24"/>
        </w:rPr>
        <w:t xml:space="preserve">%时，材料单价涨幅以已标价工程量清单或预算书中载明材料单价为基础超过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Hei" w:hAnsi="SimHei" w:eastAsia="SimHei" w:cs="SimHei"/>
          <w:b/>
          <w:color w:val="000000"/>
          <w:sz w:val="24"/>
        </w:rPr>
        <w:t xml:space="preserve">合同价格、计量与支付</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一、投标报价编制要求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2、其他项目清单中的预留金等项目费均为估算、预测数，虽在投标时计入投标人的报价中，但不应视为投标人所有。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3、结算时除工程变更引起施工方案改变外，承包人不得以招标工程措施项目清单缺项为由要求新增措施项目。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工程量清单中的工程量是按《建设工程工程量清单计价规范》(GB50500-2013)、《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等工程量计算规则进行计算的（</w:t>
      </w:r>
      <w:r>
        <w:rPr>
          <w:rFonts w:ascii="SimSun" w:hAnsi="SimSun" w:eastAsia="SimSun" w:cs="SimSun"/>
          <w:color w:val="000000"/>
          <w:sz w:val="24"/>
          <w:u w:val="single"/>
        </w:rPr>
        <w:t xml:space="preserve">本工程量清单中特别注明的除外），投标人的综合单价必须是完成一个规定清单项目所需的人工费、材料和工程设备费、施工机具使用费和企业管理费、利润、招标文件中明确由承包人承担的费用以及一定范围内的风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5、投标人自行踏勘施工现场，对施工范围的材料、机械如需二次搬运，则应综合考虑，结算不得以此为理由增加费用。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6、承包人协调好与其他承包人的交叉施工，并承担由此产生的费用。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7、竣工验收前承包人负责施工场地内残留的垃圾全部清除出场并承担相关费用，直至监理工程师验收合格为止。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8、本次工程量清单中所涉及的内容、数量在实际施工中如有增减，承包人必须服从发包人安排。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9、临时建筑在竣工结束后一周内拆除（费用由中标人自行承担）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二、本合同价款采用 固定单价 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1、在合同约定的风险范围内综合单价不可调整。工程量清单中的综合单价和其中以总额报价的项目不可调整。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2、合同中约定的风险范围：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（1）承包人自行踏勘后的现场施工条件；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（2）承包人的投标施工方案；</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（3）工程量变化产生的前期费用及相应措施费；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（4）材料价格（暂定价材料除外）；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（5）采用新的验收标准</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（6）政策性调整（人工单价等）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3、风险范围以外的内容：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（1）设计变更引起的工程量增减、清单漏项；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（2）发包人要求的承包范围以外的附加工程量；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（3）暂定项目；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（4）税率和税种变化；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（5）因不可抗力造成工期延误；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（6）发包人确认的其它项目。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4、风险范围以外内容的调整方法：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因发包人提出的设计变更部分，增加项目及签证部分造成新增的工程量清单综合单价的结算原则为：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a.投标书中已有适用于变更工程的综合单价，按投标书中已有的综合单价结算；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b.投标书中有类似于变更工程的综合单价，按投标书中已有的类似的综合单价作相应调整后（如为材料价格调整、则材料价格确定按照暂定价材料价格的确定方式确定）结算。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投标书中无类似综合单价，结算原则为：工程量按实计算，单价依据《建设工程工程量清单计价规范》(GB50500-2013)、《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w:t>
      </w:r>
      <w:r>
        <w:rPr>
          <w:rFonts w:ascii="SimSun" w:hAnsi="SimSun" w:eastAsia="SimSun" w:cs="SimSun"/>
          <w:color w:val="000000"/>
          <w:sz w:val="24"/>
          <w:u w:val="single"/>
        </w:rPr>
        <w:t xml:space="preserve">态价）等计价规范中的标准计算经审计后按中标下浮率 </w:t>
      </w:r>
      <w:r>
        <w:rPr>
          <w:rFonts w:ascii="SimSun" w:hAnsi="SimSun" w:eastAsia="SimSun" w:cs="SimSun"/>
          <w:color w:val="000000"/>
          <w:sz w:val="24"/>
          <w:highlight w:val="yellow"/>
          <w:u w:val="single"/>
        </w:rPr>
        <w:t xml:space="preserve">（由代理填写）</w:t>
      </w:r>
      <w:r>
        <w:rPr>
          <w:rFonts w:ascii="SimSun" w:hAnsi="SimSun" w:eastAsia="SimSun" w:cs="SimSun"/>
          <w:color w:val="000000"/>
          <w:sz w:val="24"/>
          <w:u w:val="single"/>
        </w:rPr>
        <w:t xml:space="preserve"> %下浮（下浮率=（标底价-中标价）/标底价）。（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B.措施项目费的调整与结算办法：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①单价措施项目费的结算同分部分项工程的结算方式。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②总价与单价措施项目中，以“项”为单位报价的，一次性包干，结算时不作调整。以费率报价的，结算时原则上按投标费率计取不变。</w:t>
      </w:r>
      <w:r>
        <w:rPr>
          <w:rFonts w:ascii="SimSun" w:hAnsi="SimSun" w:eastAsia="SimSun" w:cs="SimSun"/>
          <w:color w:val="0000ff"/>
          <w:sz w:val="24"/>
          <w:u w:val="single"/>
        </w:rPr>
        <w:t xml:space="preserve">如因招标人原因致该项目无法受监，承包人在安全文明施工过程中达到相应的安全文明施工要求，经监理方、建设方考评合格后，按安全文明基本费计取。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③本工程不要求创建省、市级安全文明标化工地。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所有涉及工程结算的签证单上必须有承包人（项目负责人）、监理单位、跟踪审计单位、发包人项目负责人的签字和盖章，方可作为竣工结算的依据，签证单上必须明确签证的原因、位置、尺寸、数量、材料、人工、机械台班、价格和签证时间，须附有综合单价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6、本工程不要求创建省、市级安全文明标化、优质工程。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7、本工程计价按增值税一般计税法计价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在投标前应对现场进行认真踏勘，熟悉工程现场和周围环境，了解并承担考察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r/>
    </w:p>
    <w:p>
      <w:pPr>
        <w:ind w:left="0" w:right="0" w:firstLine="48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9、⑴组成施工合同的文件内容不一致时，以协议书和专用条款及补充条款为准。在协议书签订后，发包人与承包人又签订新的补充协议的，以补充协议执行。</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⑵要求文明施工、安全施工 ，一切安全责任由承包人承担。</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⑶承包人应自行协调和解决好施工过程中的地方矛盾。</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⑸承包方按甲乙双方协商确定的工期完成该项目，如业主要求提前，赶工措施费用另行协商。</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⑺乙方必须取得甲方开工令后方可施工。</w:t>
      </w:r>
      <w:r/>
    </w:p>
    <w:p>
      <w:pPr>
        <w:ind w:left="0" w:right="0" w:firstLine="60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⑻乙方必须在合同约定工期内完成工程承包范围内的工程量，并达到验收标准，每推迟一天处以0.2‰的处罚，以此类推（甲方征收不到位、不可抗力等方面原因除外）。由于征收不到位或不可抗力因素造成乙方两次或多次机械进出场，甲方不再另行承担进出场费用，视作一次性总价计算在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10、本工程的结算最终审定核减额超过送审价10%以外部分以7%计取审计费，由施工方支付。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11、施工过程中发生项目变更，</w:t>
      </w:r>
      <w:r>
        <w:rPr>
          <w:rFonts w:ascii="SimSun" w:hAnsi="SimSun" w:eastAsia="SimSun" w:cs="SimSun"/>
          <w:color w:val="000000"/>
          <w:sz w:val="24"/>
          <w:u w:val="single"/>
        </w:rPr>
        <w:t xml:space="preserve">必须严格按照要求执行。如承包人未能按程序及时上报先行施工的，结算时一律不予认可。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现行建设工程工程量清单计量规范及计价规范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 </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按通用条款执行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42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关于付款周期的约定：</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工程竣工验收合格后支付至合同价款[扣除暂列金额（含规费及税金）及暂估价（含规费及税金）]的 80%；</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工程结算经审计结束后付至审定价的 97%；</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工程结算审定价的 3%作为工程质量保证金，在缺陷责任期满后付清。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按发包人要求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双方协商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（1）发包人支付进度款的期限：</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（2）发包人逾期支付进度款的违约金的计算方式：</w:t>
      </w:r>
      <w:r>
        <w:rPr>
          <w:rFonts w:ascii="SimSun" w:hAnsi="SimSun" w:eastAsia="SimSun" w:cs="SimSun"/>
          <w:color w:val="000000"/>
          <w:sz w:val="24"/>
          <w:u w:val="single"/>
        </w:rPr>
        <w:t xml:space="preserve"> /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w:t>
      </w:r>
      <w:r>
        <w:rPr>
          <w:rFonts w:ascii="SimHei" w:hAnsi="SimHei" w:eastAsia="SimHei" w:cs="SimHei"/>
          <w:b/>
          <w:color w:val="000000"/>
          <w:sz w:val="24"/>
        </w:rPr>
        <w:t xml:space="preserve"> 验收和工程试车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按国家规定及通用条款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按通用条款规定执行 </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Hei" w:hAnsi="SimHei" w:eastAsia="SimHei" w:cs="SimHei"/>
          <w:b/>
          <w:color w:val="000000"/>
          <w:sz w:val="24"/>
        </w:rPr>
        <w:t xml:space="preserve">竣工结算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rPr>
          <w:rFonts w:ascii="SimSun" w:hAnsi="SimSun" w:eastAsia="SimSun" w:cs="SimSun"/>
          <w:color w:val="000000"/>
          <w:sz w:val="24"/>
          <w:u w:val="single"/>
        </w:rPr>
        <w:t xml:space="preserve">竣工图、相关签证、技术变更单、结算书等</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按规定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按规定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按发包人及监理的要求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按发包人及监理的要求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按规定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按规定</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Hei" w:hAnsi="SimHei" w:eastAsia="SimHei" w:cs="SimHei"/>
          <w:b/>
          <w:color w:val="000000"/>
          <w:sz w:val="24"/>
        </w:rPr>
        <w:t xml:space="preserve">缺陷责任期与保修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24个月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3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审定价的3%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按国家规定，详见质量保修书</w:t>
      </w:r>
      <w:r>
        <w:rPr>
          <w:rFonts w:ascii="SimSun" w:hAnsi="SimSun" w:eastAsia="SimSun" w:cs="SimSun"/>
          <w:color w:val="000000"/>
          <w:sz w:val="24"/>
        </w:rPr>
        <w:t xml:space="preserve">。</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Hei" w:hAnsi="SimHei" w:eastAsia="SimHei" w:cs="SimHei"/>
          <w:b/>
          <w:color w:val="000000"/>
          <w:sz w:val="24"/>
        </w:rPr>
        <w:t xml:space="preserve">违约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                           </w:t>
      </w:r>
      <w:r/>
    </w:p>
    <w:p>
      <w:pPr>
        <w:ind w:left="1200" w:right="0" w:hanging="1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30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按合同约定执行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双方协商</w:t>
      </w:r>
      <w:r>
        <w:rPr>
          <w:rFonts w:ascii="SimSun" w:hAnsi="SimSun" w:eastAsia="SimSun" w:cs="SimSun"/>
          <w:color w:val="000000"/>
          <w:sz w:val="24"/>
        </w:rPr>
        <w:t xml:space="preserve">。</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Hei" w:hAnsi="SimHei" w:eastAsia="SimHei" w:cs="SimHei"/>
          <w:b/>
          <w:color w:val="000000"/>
          <w:sz w:val="24"/>
        </w:rPr>
        <w:t xml:space="preserve">不可抗力</w:t>
      </w:r>
      <w:r>
        <w:rPr>
          <w:rFonts w:ascii="SimSun" w:hAnsi="SimSun" w:eastAsia="SimSun" w:cs="SimSun"/>
          <w:b/>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30 </w:t>
      </w:r>
      <w:r>
        <w:rPr>
          <w:rFonts w:ascii="SimSun" w:hAnsi="SimSun" w:eastAsia="SimSun" w:cs="SimSun"/>
          <w:color w:val="000000"/>
          <w:sz w:val="24"/>
        </w:rPr>
        <w:t xml:space="preserve">天内完成款项的支付。</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Hei" w:hAnsi="SimHei" w:eastAsia="SimHei" w:cs="SimHei"/>
          <w:b/>
          <w:color w:val="000000"/>
          <w:sz w:val="24"/>
        </w:rPr>
        <w:t xml:space="preserve">保险</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 </w:t>
      </w:r>
      <w:r/>
    </w:p>
    <w:p>
      <w:pPr>
        <w:pStyle w:val="6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Hei" w:hAnsi="SimHei" w:eastAsia="SimHei" w:cs="SimHei"/>
          <w:b/>
          <w:color w:val="000000"/>
          <w:sz w:val="24"/>
        </w:rPr>
        <w:t xml:space="preserve">争议解决</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不同意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有管辖权的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（1）组成施工合同的文件内容不一致时，以协议书和专用条款及补充条款为准。在协议书签订后，发包人与承包人又签订新的补充协议的，以补充协议执行。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（2）要求文明施工、安全施工 ，一切安全责任由承包人承担。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（3）承包人应自行协调和解决好施工过程中的地方矛盾。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（5）承包方按甲乙双方协商确定的工期完成该项目，如业主要求提前，赶工措施费用另行协商。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（6）本合同未尽事宜，招标文件有规定的按招标文件，招标文件未规定的双方协商解决。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（7）工程完工30日内承包方提出竣工验收，发包方组织验收，工程竣工验收合格后30日内，按照业主要求，提交符合城建档案馆及质检监督部门要求的竣工图和竣工资料，并提交完整的结算资料。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（8）施工单位结算时所开具的发票须满足税务部门相关规定，结算时根据开票金额据实调整。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（9）附项目主要管理人员名单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项目主要管理人员</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12"/>
        <w:gridCol w:w="3012"/>
        <w:gridCol w:w="3012"/>
      </w:tblGrid>
      <w:tr>
        <w:trPr>
          <w:trHeight w:val="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　包　人：（盖章）　　　　　　　　　承　包　人：（盖章）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　　　　　　　　　　　　　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　　　　　　　　　　　　　　　　　电话：</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工程质量保修书</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2"/>
          <w:sz w:val="24"/>
        </w:rPr>
        <w:t xml:space="preserve">发包人（全称）：</w:t>
      </w:r>
      <w:r>
        <w:rPr>
          <w:rFonts w:ascii="SimSun" w:hAnsi="SimSun" w:eastAsia="SimSun" w:cs="SimSun"/>
          <w:b/>
          <w:color w:val="000000"/>
          <w:spacing w:val="12"/>
          <w:sz w:val="24"/>
          <w:u w:val="single"/>
        </w:rPr>
        <w:t xml:space="preserve"> 溧阳市天目湖镇人民政府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2"/>
          <w:sz w:val="24"/>
        </w:rPr>
        <w:t xml:space="preserve">承包人（全称）：</w:t>
      </w:r>
      <w:r>
        <w:rPr>
          <w:rFonts w:ascii="SimSun" w:hAnsi="SimSun" w:eastAsia="SimSun" w:cs="SimSun"/>
          <w:b/>
          <w:color w:val="000000"/>
          <w:spacing w:val="12"/>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天目湖美术馆装饰装修及外立面改造工程  </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按《建设工程质量管理条例》的规定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本工程缺陷责任期为24个月，审定价的3%为质保金，在缺陷责任期满二周内结清（不计息）。质量缺陷责任期自工程竣工验收合格之日起计算。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个月，缺陷责任期自工程竣工验收合格之日起计算。单位工程先于全部工程进行验收，单位工程缺陷责任期自单位工程验收合格之日起算。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　包　人：（盖章）　　　　　　　　　承　包　人：（盖章）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　　　　　　　　　　　　　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　　　　　　　　　　　　　　　　　电话：</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4、本项目实行电子化不见面交易方式，响应文件中加盖公章、签名等均通过响应文件编制工具加盖电子公章、签字或印鉴。本处所指的公章是指法定名称章，不包括合同专用章、业务专用章等印章。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5、提供相关材料复印件的须加盖供应商公章，且复印件内容应清晰可辨，必要时磋商小组有权要求提供原件或公证件进行核对。</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目录（格式自拟）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13"/>
        <w:ind w:left="0" w:right="0" w:firstLine="0"/>
        <w:spacing w:before="36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溧阳大华工程项目管理有限公司</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的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法定代表人（或单位负责人）签字或盖章：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（1）有效期内营业执照；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（2）投标人具有有效期内建筑装饰装修工程专业承包二级及以上资质证书；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（3）投标人具有有效期内企业安全生产许可证证书；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（4）项目负责人具有建筑工程二级（含）以上注册建造师证书、安全生产考核合格证（B 证）及为其缴纳的2025年8月至2025年10月任意1个月的社保证明及无在建承诺（承诺书格式自拟）。</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（注：一级建造师电子注册证书，执行《住房和城乡建设部办公厅关于全面实行一级建造师电子注册证书的通知》（建办市 [2021]40 号）文件。使用电子证书的，需按江苏省住房和城乡建设厅〔2023〕第5号公告规定使用新版电子证照。）</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法定代表人资格证明书（实质性格式）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1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委托代理人（签字/签章）：________________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法定代表人（单位负责人）有效期内的身份证正反面复印件：</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委托代理人有效期内的身份证正反面复印件：</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1.若供应商为事业单位或其他组织或分支机构（仅当招标文件注明允许分支机构响应的），则法定代表人（单位负责人）处的签署人可为单位负责人。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2.若响应文件中签字之处均为法定代表人（单位负责人）本人签署，则可不提供本《授权委托书》，但须提供《法定代表人资格证明书》（实质性格式）。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12"/>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政府采购供应商信用承诺书（实质性格式）</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报价一览表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44"/>
        <w:gridCol w:w="1744"/>
        <w:gridCol w:w="1744"/>
        <w:gridCol w:w="1744"/>
        <w:gridCol w:w="1748"/>
      </w:tblGrid>
      <w:tr>
        <w:trPr>
          <w:trHeight w:val="7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工程量清单报价表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工程量清单报价格式：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2.工程项目投标报价汇总表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3.单项工程投标报价汇总表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4.单位工程投标报价汇总表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5.分部分项工程和单价措施项目清单与计价表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6.综合单价分析表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7.总价措施项目清单与计价表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8.其他项目清单与计价汇总表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9.暂列金额明细表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10.计日工表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11.总承包服务费计价表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12.规费、税金项目计价表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13.人材机汇总表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报价表格式填写要求详见《建设工程工程量清单计价规范》（GB50500-2013）中的相关规定。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1028"/>
        <w:gridCol w:w="1586"/>
        <w:gridCol w:w="1587"/>
        <w:gridCol w:w="1943"/>
        <w:gridCol w:w="2550"/>
      </w:tblGrid>
      <w:tr>
        <w:trPr>
          <w:trHeight w:val="150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采购需求偏离表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1833"/>
        <w:gridCol w:w="1784"/>
        <w:gridCol w:w="1634"/>
        <w:gridCol w:w="2427"/>
        <w:gridCol w:w="783"/>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“偏离情况”列应据实填写“正偏离”、“负偏离”或“无偏离”。</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Style w:val="642"/>
            <w:rFonts w:ascii="Times New Roman" w:hAnsi="Times New Roman" w:eastAsia="Times New Roman" w:cs="Times New Roman"/>
            <w:color w:val="0084ff"/>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单位名称（加盖公章）：</w:t>
      </w:r>
      <w:r/>
    </w:p>
    <w:p>
      <w:pPr>
        <w:ind w:left="0" w:right="1560" w:firstLine="5292"/>
        <w:jc w:val="both"/>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根据实际方案自行编制方案目录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12"/>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12"/>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738"/>
        <w:gridCol w:w="738"/>
        <w:gridCol w:w="738"/>
        <w:gridCol w:w="738"/>
        <w:gridCol w:w="738"/>
        <w:gridCol w:w="738"/>
        <w:gridCol w:w="738"/>
        <w:gridCol w:w="738"/>
        <w:gridCol w:w="7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注：参加本项目人员须是供应商正式职工（作为评分项的请依据评分细则要求提供）。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  相关业绩案例一览表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1"/>
        <w:gridCol w:w="1443"/>
        <w:gridCol w:w="1299"/>
        <w:gridCol w:w="1371"/>
        <w:gridCol w:w="1422"/>
        <w:gridCol w:w="1422"/>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注：附相关证明材料（如中标通知书、合同等，作为评分项的请依据评分细则要求提供）</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溧阳大华工程项目管理有限公司：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（采购人）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我单位承诺，我单位提供的投标文件完全符合招标文件中符合性审查的相关要求，特此承诺，若在招投标阶段任一环节中查出我单位不符合相关规定，我单位自愿接受作无效响应的处理。</w:t>
      </w:r>
      <w:r/>
    </w:p>
    <w:p>
      <w:pPr>
        <w:ind w:left="0" w:right="0" w:firstLine="14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14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投标供应商（公章）：</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egoe UI Symbol">
    <w:panose1 w:val="020B0502040204020203"/>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980" w:hanging="1140"/>
      </w:pPr>
      <w:rPr>
        <w:rFonts w:ascii="宋体" w:hAnsi="宋体" w:eastAsia="宋体" w:cs="宋体"/>
      </w:r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1980" w:hanging="1140"/>
      </w:pPr>
      <w:rPr>
        <w:rFonts w:ascii="SimSun" w:hAnsi="SimSun" w:eastAsia="SimSun" w:cs="SimSun"/>
      </w:r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8">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0" w:default="1">
    <w:name w:val="Normal"/>
    <w:uiPriority w:val="0"/>
    <w:qFormat/>
    <w:rPr>
      <w:rFonts w:asciiTheme="minorHAnsi" w:hAnsiTheme="minorHAnsi" w:eastAsiaTheme="minorEastAsia" w:cstheme="minorBidi"/>
      <w:sz w:val="21"/>
      <w:szCs w:val="22"/>
    </w:rPr>
  </w:style>
  <w:style w:type="paragraph" w:styleId="611">
    <w:name w:val="Heading 1"/>
    <w:link w:val="644"/>
    <w:uiPriority w:val="9"/>
    <w:qFormat/>
    <w:pPr>
      <w:keepLines/>
      <w:keepNext/>
      <w:spacing w:before="480" w:after="200"/>
      <w:outlineLvl w:val="0"/>
    </w:pPr>
    <w:rPr>
      <w:rFonts w:ascii="Arial" w:hAnsi="Arial" w:eastAsia="Arial" w:cs="Arial"/>
      <w:sz w:val="40"/>
      <w:szCs w:val="40"/>
    </w:rPr>
  </w:style>
  <w:style w:type="paragraph" w:styleId="612">
    <w:name w:val="Heading 2"/>
    <w:link w:val="645"/>
    <w:uiPriority w:val="9"/>
    <w:unhideWhenUsed/>
    <w:qFormat/>
    <w:pPr>
      <w:keepLines/>
      <w:keepNext/>
      <w:spacing w:before="360" w:after="200"/>
      <w:outlineLvl w:val="1"/>
    </w:pPr>
    <w:rPr>
      <w:rFonts w:ascii="Arial" w:hAnsi="Arial" w:eastAsia="Arial" w:cs="Arial"/>
      <w:sz w:val="34"/>
      <w:szCs w:val="22"/>
    </w:rPr>
  </w:style>
  <w:style w:type="paragraph" w:styleId="613">
    <w:name w:val="Heading 3"/>
    <w:link w:val="646"/>
    <w:uiPriority w:val="9"/>
    <w:unhideWhenUsed/>
    <w:qFormat/>
    <w:pPr>
      <w:keepLines/>
      <w:keepNext/>
      <w:spacing w:before="320" w:after="200"/>
      <w:outlineLvl w:val="2"/>
    </w:pPr>
    <w:rPr>
      <w:rFonts w:ascii="Arial" w:hAnsi="Arial" w:eastAsia="Arial" w:cs="Arial"/>
      <w:sz w:val="30"/>
      <w:szCs w:val="30"/>
    </w:rPr>
  </w:style>
  <w:style w:type="paragraph" w:styleId="614">
    <w:name w:val="Heading 4"/>
    <w:link w:val="647"/>
    <w:uiPriority w:val="9"/>
    <w:unhideWhenUsed/>
    <w:qFormat/>
    <w:pPr>
      <w:keepLines/>
      <w:keepNext/>
      <w:spacing w:before="320" w:after="200"/>
      <w:outlineLvl w:val="3"/>
    </w:pPr>
    <w:rPr>
      <w:rFonts w:ascii="Arial" w:hAnsi="Arial" w:eastAsia="Arial" w:cs="Arial"/>
      <w:b/>
      <w:bCs/>
      <w:sz w:val="26"/>
      <w:szCs w:val="26"/>
    </w:rPr>
  </w:style>
  <w:style w:type="paragraph" w:styleId="615">
    <w:name w:val="Heading 5"/>
    <w:link w:val="648"/>
    <w:uiPriority w:val="9"/>
    <w:unhideWhenUsed/>
    <w:qFormat/>
    <w:pPr>
      <w:keepLines/>
      <w:keepNext/>
      <w:spacing w:before="320" w:after="200"/>
      <w:outlineLvl w:val="4"/>
    </w:pPr>
    <w:rPr>
      <w:rFonts w:ascii="Arial" w:hAnsi="Arial" w:eastAsia="Arial" w:cs="Arial"/>
      <w:b/>
      <w:bCs/>
      <w:sz w:val="24"/>
      <w:szCs w:val="24"/>
    </w:rPr>
  </w:style>
  <w:style w:type="paragraph" w:styleId="616">
    <w:name w:val="Heading 6"/>
    <w:link w:val="649"/>
    <w:uiPriority w:val="9"/>
    <w:unhideWhenUsed/>
    <w:qFormat/>
    <w:pPr>
      <w:keepLines/>
      <w:keepNext/>
      <w:spacing w:before="320" w:after="200"/>
      <w:outlineLvl w:val="5"/>
    </w:pPr>
    <w:rPr>
      <w:rFonts w:ascii="Arial" w:hAnsi="Arial" w:eastAsia="Arial" w:cs="Arial"/>
      <w:b/>
      <w:bCs/>
      <w:sz w:val="22"/>
      <w:szCs w:val="22"/>
    </w:rPr>
  </w:style>
  <w:style w:type="paragraph" w:styleId="617">
    <w:name w:val="Heading 7"/>
    <w:link w:val="650"/>
    <w:uiPriority w:val="9"/>
    <w:unhideWhenUsed/>
    <w:qFormat/>
    <w:pPr>
      <w:keepLines/>
      <w:keepNext/>
      <w:spacing w:before="320" w:after="200"/>
      <w:outlineLvl w:val="6"/>
    </w:pPr>
    <w:rPr>
      <w:rFonts w:ascii="Arial" w:hAnsi="Arial" w:eastAsia="Arial" w:cs="Arial"/>
      <w:b/>
      <w:bCs/>
      <w:i/>
      <w:iCs/>
      <w:sz w:val="22"/>
      <w:szCs w:val="22"/>
    </w:rPr>
  </w:style>
  <w:style w:type="paragraph" w:styleId="618">
    <w:name w:val="Heading 8"/>
    <w:link w:val="651"/>
    <w:uiPriority w:val="9"/>
    <w:unhideWhenUsed/>
    <w:qFormat/>
    <w:pPr>
      <w:keepLines/>
      <w:keepNext/>
      <w:spacing w:before="320" w:after="200"/>
      <w:outlineLvl w:val="7"/>
    </w:pPr>
    <w:rPr>
      <w:rFonts w:ascii="Arial" w:hAnsi="Arial" w:eastAsia="Arial" w:cs="Arial"/>
      <w:i/>
      <w:iCs/>
      <w:sz w:val="22"/>
      <w:szCs w:val="22"/>
    </w:rPr>
  </w:style>
  <w:style w:type="paragraph" w:styleId="619">
    <w:name w:val="Heading 9"/>
    <w:link w:val="652"/>
    <w:uiPriority w:val="9"/>
    <w:unhideWhenUsed/>
    <w:qFormat/>
    <w:pPr>
      <w:keepLines/>
      <w:keepNext/>
      <w:spacing w:before="320" w:after="200"/>
      <w:outlineLvl w:val="8"/>
    </w:pPr>
    <w:rPr>
      <w:rFonts w:ascii="Arial" w:hAnsi="Arial" w:eastAsia="Arial" w:cs="Arial"/>
      <w:i/>
      <w:iCs/>
      <w:sz w:val="21"/>
      <w:szCs w:val="21"/>
    </w:rPr>
  </w:style>
  <w:style w:type="character" w:styleId="620" w:default="1">
    <w:name w:val="Default Paragraph Font"/>
    <w:uiPriority w:val="1"/>
    <w:semiHidden/>
    <w:unhideWhenUsed/>
    <w:qFormat/>
  </w:style>
  <w:style w:type="table" w:styleId="621" w:default="1">
    <w:name w:val="Normal Table"/>
    <w:uiPriority w:val="99"/>
    <w:semiHidden/>
    <w:unhideWhenUsed/>
    <w:qFormat/>
    <w:tblPr>
      <w:tblCellMar>
        <w:left w:w="108" w:type="dxa"/>
        <w:top w:w="0" w:type="dxa"/>
        <w:right w:w="108" w:type="dxa"/>
        <w:bottom w:w="0" w:type="dxa"/>
      </w:tblCellMar>
    </w:tblPr>
  </w:style>
  <w:style w:type="paragraph" w:styleId="62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2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62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2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2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7">
    <w:name w:val="index 3"/>
    <w:basedOn w:val="610"/>
    <w:next w:val="610"/>
    <w:uiPriority w:val="99"/>
    <w:qFormat/>
    <w:pPr>
      <w:ind w:left="400"/>
    </w:pPr>
  </w:style>
  <w:style w:type="paragraph" w:styleId="628">
    <w:name w:val="endnote text"/>
    <w:link w:val="790"/>
    <w:uiPriority w:val="99"/>
    <w:semiHidden/>
    <w:unhideWhenUsed/>
    <w:qFormat/>
    <w:pPr>
      <w:spacing w:after="0" w:line="240" w:lineRule="auto"/>
    </w:pPr>
    <w:rPr>
      <w:rFonts w:asciiTheme="minorHAnsi" w:hAnsiTheme="minorHAnsi" w:eastAsiaTheme="minorEastAsia" w:cstheme="minorBidi"/>
      <w:sz w:val="20"/>
      <w:szCs w:val="22"/>
    </w:rPr>
  </w:style>
  <w:style w:type="paragraph" w:styleId="629">
    <w:name w:val="Footer"/>
    <w:link w:val="663"/>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30">
    <w:name w:val="Header"/>
    <w:link w:val="661"/>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31">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32">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33">
    <w:name w:val="Subtitle"/>
    <w:link w:val="656"/>
    <w:uiPriority w:val="11"/>
    <w:qFormat/>
    <w:pPr>
      <w:spacing w:before="200" w:after="200"/>
    </w:pPr>
    <w:rPr>
      <w:rFonts w:asciiTheme="minorHAnsi" w:hAnsiTheme="minorHAnsi" w:eastAsiaTheme="minorEastAsia" w:cstheme="minorBidi"/>
      <w:sz w:val="24"/>
      <w:szCs w:val="24"/>
    </w:rPr>
  </w:style>
  <w:style w:type="paragraph" w:styleId="634">
    <w:name w:val="footnote text"/>
    <w:link w:val="789"/>
    <w:uiPriority w:val="99"/>
    <w:semiHidden/>
    <w:unhideWhenUsed/>
    <w:qFormat/>
    <w:pPr>
      <w:spacing w:after="40" w:line="240" w:lineRule="auto"/>
    </w:pPr>
    <w:rPr>
      <w:rFonts w:asciiTheme="minorHAnsi" w:hAnsiTheme="minorHAnsi" w:eastAsiaTheme="minorEastAsia" w:cstheme="minorBidi"/>
      <w:sz w:val="18"/>
      <w:szCs w:val="22"/>
    </w:rPr>
  </w:style>
  <w:style w:type="paragraph" w:styleId="635">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36">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37">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8">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9">
    <w:name w:val="Title"/>
    <w:link w:val="655"/>
    <w:uiPriority w:val="10"/>
    <w:qFormat/>
    <w:pPr>
      <w:contextualSpacing/>
      <w:spacing w:before="300" w:after="200"/>
    </w:pPr>
    <w:rPr>
      <w:rFonts w:asciiTheme="minorHAnsi" w:hAnsiTheme="minorHAnsi" w:eastAsiaTheme="minorEastAsia" w:cstheme="minorBidi"/>
      <w:sz w:val="48"/>
      <w:szCs w:val="48"/>
    </w:rPr>
  </w:style>
  <w:style w:type="table" w:styleId="6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1">
    <w:name w:val="endnote reference"/>
    <w:uiPriority w:val="99"/>
    <w:semiHidden/>
    <w:unhideWhenUsed/>
    <w:qFormat/>
    <w:rPr>
      <w:vertAlign w:val="superscript"/>
    </w:rPr>
  </w:style>
  <w:style w:type="character" w:styleId="642">
    <w:name w:val="Hyperlink"/>
    <w:uiPriority w:val="99"/>
    <w:unhideWhenUsed/>
    <w:qFormat/>
    <w:rPr>
      <w:color w:val="0000ff" w:themeColor="hyperlink"/>
      <w:u w:val="single"/>
    </w:rPr>
  </w:style>
  <w:style w:type="character" w:styleId="643">
    <w:name w:val="footnote reference"/>
    <w:uiPriority w:val="99"/>
    <w:unhideWhenUsed/>
    <w:qFormat/>
    <w:rPr>
      <w:vertAlign w:val="superscript"/>
    </w:rPr>
  </w:style>
  <w:style w:type="character" w:styleId="644" w:customStyle="1">
    <w:name w:val="Heading 1 Char"/>
    <w:link w:val="611"/>
    <w:uiPriority w:val="9"/>
    <w:qFormat/>
    <w:rPr>
      <w:rFonts w:ascii="Arial" w:hAnsi="Arial" w:eastAsia="Arial" w:cs="Arial"/>
      <w:sz w:val="40"/>
      <w:szCs w:val="40"/>
    </w:rPr>
  </w:style>
  <w:style w:type="character" w:styleId="645" w:customStyle="1">
    <w:name w:val="Heading 2 Char"/>
    <w:link w:val="612"/>
    <w:uiPriority w:val="9"/>
    <w:qFormat/>
    <w:rPr>
      <w:rFonts w:ascii="Arial" w:hAnsi="Arial" w:eastAsia="Arial" w:cs="Arial"/>
      <w:sz w:val="34"/>
    </w:rPr>
  </w:style>
  <w:style w:type="character" w:styleId="646" w:customStyle="1">
    <w:name w:val="Heading 3 Char"/>
    <w:link w:val="613"/>
    <w:uiPriority w:val="9"/>
    <w:qFormat/>
    <w:rPr>
      <w:rFonts w:ascii="Arial" w:hAnsi="Arial" w:eastAsia="Arial" w:cs="Arial"/>
      <w:sz w:val="30"/>
      <w:szCs w:val="30"/>
    </w:rPr>
  </w:style>
  <w:style w:type="character" w:styleId="647" w:customStyle="1">
    <w:name w:val="Heading 4 Char"/>
    <w:link w:val="614"/>
    <w:uiPriority w:val="9"/>
    <w:qFormat/>
    <w:rPr>
      <w:rFonts w:ascii="Arial" w:hAnsi="Arial" w:eastAsia="Arial" w:cs="Arial"/>
      <w:b/>
      <w:bCs/>
      <w:sz w:val="26"/>
      <w:szCs w:val="26"/>
    </w:rPr>
  </w:style>
  <w:style w:type="character" w:styleId="648" w:customStyle="1">
    <w:name w:val="Heading 5 Char"/>
    <w:link w:val="615"/>
    <w:uiPriority w:val="9"/>
    <w:qFormat/>
    <w:rPr>
      <w:rFonts w:ascii="Arial" w:hAnsi="Arial" w:eastAsia="Arial" w:cs="Arial"/>
      <w:b/>
      <w:bCs/>
      <w:sz w:val="24"/>
      <w:szCs w:val="24"/>
    </w:rPr>
  </w:style>
  <w:style w:type="character" w:styleId="649" w:customStyle="1">
    <w:name w:val="Heading 6 Char"/>
    <w:link w:val="616"/>
    <w:uiPriority w:val="9"/>
    <w:qFormat/>
    <w:rPr>
      <w:rFonts w:ascii="Arial" w:hAnsi="Arial" w:eastAsia="Arial" w:cs="Arial"/>
      <w:b/>
      <w:bCs/>
      <w:sz w:val="22"/>
      <w:szCs w:val="22"/>
    </w:rPr>
  </w:style>
  <w:style w:type="character" w:styleId="650" w:customStyle="1">
    <w:name w:val="Heading 7 Char"/>
    <w:link w:val="617"/>
    <w:uiPriority w:val="9"/>
    <w:qFormat/>
    <w:rPr>
      <w:rFonts w:ascii="Arial" w:hAnsi="Arial" w:eastAsia="Arial" w:cs="Arial"/>
      <w:b/>
      <w:bCs/>
      <w:i/>
      <w:iCs/>
      <w:sz w:val="22"/>
      <w:szCs w:val="22"/>
    </w:rPr>
  </w:style>
  <w:style w:type="character" w:styleId="651" w:customStyle="1">
    <w:name w:val="Heading 8 Char"/>
    <w:link w:val="618"/>
    <w:uiPriority w:val="9"/>
    <w:qFormat/>
    <w:rPr>
      <w:rFonts w:ascii="Arial" w:hAnsi="Arial" w:eastAsia="Arial" w:cs="Arial"/>
      <w:i/>
      <w:iCs/>
      <w:sz w:val="22"/>
      <w:szCs w:val="22"/>
    </w:rPr>
  </w:style>
  <w:style w:type="character" w:styleId="652" w:customStyle="1">
    <w:name w:val="Heading 9 Char"/>
    <w:link w:val="619"/>
    <w:uiPriority w:val="9"/>
    <w:qFormat/>
    <w:rPr>
      <w:rFonts w:ascii="Arial" w:hAnsi="Arial" w:eastAsia="Arial" w:cs="Arial"/>
      <w:i/>
      <w:iCs/>
      <w:sz w:val="21"/>
      <w:szCs w:val="21"/>
    </w:rPr>
  </w:style>
  <w:style w:type="paragraph" w:styleId="653">
    <w:name w:val="List Paragraph"/>
    <w:basedOn w:val="610"/>
    <w:uiPriority w:val="34"/>
    <w:qFormat/>
    <w:pPr>
      <w:contextualSpacing/>
      <w:ind w:left="720"/>
    </w:pPr>
    <w:rPr>
      <w:rFonts w:asciiTheme="minorHAnsi" w:hAnsiTheme="minorHAnsi" w:eastAsiaTheme="minorEastAsia" w:cstheme="minorBidi"/>
      <w:sz w:val="21"/>
      <w:szCs w:val="22"/>
    </w:rPr>
  </w:style>
  <w:style w:type="paragraph" w:styleId="654">
    <w:name w:val="No Spacing"/>
    <w:uiPriority w:val="1"/>
    <w:qFormat/>
    <w:pPr>
      <w:spacing w:before="0" w:after="0" w:line="240" w:lineRule="auto"/>
    </w:pPr>
    <w:rPr>
      <w:rFonts w:asciiTheme="minorHAnsi" w:hAnsiTheme="minorHAnsi" w:eastAsiaTheme="minorEastAsia" w:cstheme="minorBidi"/>
      <w:sz w:val="21"/>
      <w:szCs w:val="22"/>
    </w:rPr>
  </w:style>
  <w:style w:type="character" w:styleId="655" w:customStyle="1">
    <w:name w:val="Title Char"/>
    <w:link w:val="639"/>
    <w:uiPriority w:val="10"/>
    <w:qFormat/>
    <w:rPr>
      <w:sz w:val="48"/>
      <w:szCs w:val="48"/>
    </w:rPr>
  </w:style>
  <w:style w:type="character" w:styleId="656" w:customStyle="1">
    <w:name w:val="Subtitle Char"/>
    <w:link w:val="633"/>
    <w:uiPriority w:val="11"/>
    <w:qFormat/>
    <w:rPr>
      <w:sz w:val="24"/>
      <w:szCs w:val="24"/>
    </w:rPr>
  </w:style>
  <w:style w:type="paragraph" w:styleId="657">
    <w:name w:val="Quote"/>
    <w:link w:val="658"/>
    <w:uiPriority w:val="29"/>
    <w:qFormat/>
    <w:pPr>
      <w:ind w:left="720" w:right="720"/>
    </w:pPr>
    <w:rPr>
      <w:rFonts w:asciiTheme="minorHAnsi" w:hAnsiTheme="minorHAnsi" w:eastAsiaTheme="minorEastAsia" w:cstheme="minorBidi"/>
      <w:i/>
      <w:sz w:val="21"/>
      <w:szCs w:val="22"/>
    </w:rPr>
  </w:style>
  <w:style w:type="character" w:styleId="658" w:customStyle="1">
    <w:name w:val="Quote Char"/>
    <w:link w:val="657"/>
    <w:uiPriority w:val="29"/>
    <w:qFormat/>
    <w:rPr>
      <w:i/>
    </w:rPr>
  </w:style>
  <w:style w:type="paragraph" w:styleId="659">
    <w:name w:val="Intense Quote"/>
    <w:link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60" w:customStyle="1">
    <w:name w:val="Intense Quote Char"/>
    <w:link w:val="659"/>
    <w:uiPriority w:val="30"/>
    <w:qFormat/>
    <w:rPr>
      <w:i/>
    </w:rPr>
  </w:style>
  <w:style w:type="character" w:styleId="661" w:customStyle="1">
    <w:name w:val="Header Char"/>
    <w:link w:val="630"/>
    <w:uiPriority w:val="99"/>
    <w:qFormat/>
  </w:style>
  <w:style w:type="character" w:styleId="662" w:customStyle="1">
    <w:name w:val="Footer Char"/>
    <w:link w:val="629"/>
    <w:uiPriority w:val="99"/>
    <w:qFormat/>
  </w:style>
  <w:style w:type="character" w:styleId="663" w:customStyle="1">
    <w:name w:val="Caption Char"/>
    <w:link w:val="629"/>
    <w:uiPriority w:val="99"/>
    <w:qFormat/>
  </w:style>
  <w:style w:type="table" w:styleId="6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9" w:customStyle="1">
    <w:name w:val="Footnote Text Char"/>
    <w:link w:val="634"/>
    <w:uiPriority w:val="99"/>
    <w:qFormat/>
    <w:rPr>
      <w:sz w:val="18"/>
    </w:rPr>
  </w:style>
  <w:style w:type="character" w:styleId="790" w:customStyle="1">
    <w:name w:val="Endnote Text Char"/>
    <w:link w:val="628"/>
    <w:uiPriority w:val="99"/>
    <w:qFormat/>
    <w:rPr>
      <w:sz w:val="20"/>
    </w:rPr>
  </w:style>
  <w:style w:type="paragraph" w:styleId="791" w:customStyle="1">
    <w:name w:val="TOC Heading"/>
    <w:uiPriority w:val="39"/>
    <w:unhideWhenUsed/>
    <w:qFormat/>
    <w:rPr>
      <w:rFonts w:asciiTheme="minorHAnsi" w:hAnsiTheme="minorHAnsi" w:eastAsiaTheme="minorEastAsia" w:cstheme="minorBidi"/>
      <w:sz w:val="21"/>
      <w:szCs w:val="22"/>
    </w:rPr>
  </w:style>
  <w:style w:type="paragraph" w:styleId="79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793" w:customStyle="1">
    <w:name w:val="列出段落5"/>
    <w:basedOn w:val="610"/>
    <w:uiPriority w:val="0"/>
    <w:qFormat/>
    <w:pPr>
      <w:ind w:firstLine="420"/>
    </w:pPr>
    <w:rPr>
      <w:szCs w:val="24"/>
    </w:rPr>
  </w:style>
  <w:style w:type="numbering" w:styleId="13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张工</cp:lastModifiedBy>
  <cp:revision>4</cp:revision>
  <dcterms:created xsi:type="dcterms:W3CDTF">2025-07-30T00:25:00Z</dcterms:created>
  <dcterms:modified xsi:type="dcterms:W3CDTF">2025-10-30T07:47:52Z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eyJoZGlkIjoiZTUxMWJiYmY0ZGU3ZDgzMGY5MDFjYzQ4M2MxOWY2NzgiLCJ1c2VySWQiOiIzMDIwNzA1ODQifQ==</vt:lpwstr>
  </property>
  <property fmtid="{D5CDD505-2E9C-101B-9397-08002B2CF9AE}" pid="3" name="KSOProductBuildVer">
    <vt:lpwstr>2052-12.1.0.23125</vt:lpwstr>
  </property>
  <property fmtid="{D5CDD505-2E9C-101B-9397-08002B2CF9AE}" pid="4" name="ICV">
    <vt:lpwstr>483EB59AC2D5423D923E43B463CA87F5_12</vt:lpwstr>
  </property>
</Properties>
</file>